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480"/>
        <w:jc w:val="center"/>
      </w:pPr>
      <w:r>
        <w:rPr>
          <w:rFonts w:ascii="Arial" w:cs="Arial" w:eastAsia="Arial" w:hAnsi="Arial"/>
          <w:b/>
          <w:bCs/>
          <w:color w:val="1B7A8C"/>
          <w:sz w:val="52"/>
          <w:szCs w:val="52"/>
        </w:rPr>
        <w:t xml:space="preserve">BMS WELLBEING CIC</w:t>
      </w:r>
    </w:p>
    <w:p>
      <w:pPr>
        <w:spacing w:after="240" w:before="0"/>
        <w:jc w:val="center"/>
      </w:pPr>
      <w:r>
        <w:rPr>
          <w:rFonts w:ascii="Arial" w:cs="Arial" w:eastAsia="Arial" w:hAnsi="Arial"/>
          <w:i/>
          <w:iCs/>
          <w:color w:val="666666"/>
          <w:sz w:val="28"/>
          <w:szCs w:val="28"/>
        </w:rPr>
        <w:t xml:space="preserve">Understanding You</w:t>
      </w:r>
    </w:p>
    <w:p>
      <w:pPr>
        <w:spacing w:after="120" w:before="240"/>
        <w:jc w:val="center"/>
      </w:pPr>
      <w:r>
        <w:rPr>
          <w:rFonts w:ascii="Arial" w:cs="Arial" w:eastAsia="Arial" w:hAnsi="Arial"/>
          <w:b/>
          <w:bCs/>
          <w:color w:val="333333"/>
          <w:sz w:val="36"/>
          <w:szCs w:val="36"/>
        </w:rPr>
        <w:t xml:space="preserve">SMOKING CESSATION WELLBEING PROJECT</w:t>
      </w:r>
    </w:p>
    <w:p>
      <w:pPr>
        <w:spacing w:after="60" w:before="60"/>
        <w:jc w:val="center"/>
      </w:pPr>
      <w:r>
        <w:rPr>
          <w:rFonts w:ascii="Arial" w:cs="Arial" w:eastAsia="Arial" w:hAnsi="Arial"/>
          <w:color w:val="666666"/>
          <w:sz w:val="26"/>
          <w:szCs w:val="26"/>
        </w:rPr>
        <w:t xml:space="preserve">Trafford Council Public Health Funding Report</w:t>
      </w:r>
    </w:p>
    <w:p>
      <w:pPr>
        <w:spacing w:after="60" w:before="60"/>
        <w:jc w:val="center"/>
      </w:pPr>
      <w:r>
        <w:rPr>
          <w:rFonts w:ascii="Arial" w:cs="Arial" w:eastAsia="Arial" w:hAnsi="Arial"/>
          <w:color w:val="666666"/>
          <w:sz w:val="22"/>
          <w:szCs w:val="22"/>
        </w:rPr>
        <w:t xml:space="preserve">Purchase Order 7500291229  |  Project Period 2025</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B7A8C" w:val="clear"/>
            <w:tcMar>
              <w:top w:type="dxa" w:w="120"/>
              <w:left w:type="dxa" w:w="160"/>
              <w:bottom w:type="dxa" w:w="120"/>
              <w:right w:type="dxa" w:w="160"/>
            </w:tcMar>
          </w:tcPr>
          <w:p>
            <w:r>
              <w:rPr>
                <w:rFonts w:ascii="Arial" w:cs="Arial" w:eastAsia="Arial" w:hAnsi="Arial"/>
                <w:b/>
                <w:bCs/>
                <w:color w:val="FFFFFF"/>
                <w:sz w:val="20"/>
                <w:szCs w:val="20"/>
              </w:rPr>
              <w:t xml:space="preserve">Purchase Order</w:t>
            </w:r>
          </w:p>
        </w:tc>
        <w:tc>
          <w:tcPr>
            <w:tcW w:type="dxa" w:w="6160"/>
            <w:tcBorders>
              <w:top w:val="single" w:color="CCCCCC" w:sz="1"/>
              <w:left w:val="single" w:color="CCCCCC" w:sz="1"/>
              <w:bottom w:val="single" w:color="CCCCCC" w:sz="1"/>
              <w:right w:val="single" w:color="CCCCCC" w:sz="1"/>
            </w:tcBorders>
            <w:shd w:fill="FFFFFF" w:val="clear"/>
            <w:tcMar>
              <w:top w:type="dxa" w:w="120"/>
              <w:left w:type="dxa" w:w="160"/>
              <w:bottom w:type="dxa" w:w="120"/>
              <w:right w:type="dxa" w:w="160"/>
            </w:tcMar>
          </w:tcPr>
          <w:p>
            <w:r>
              <w:rPr>
                <w:rFonts w:ascii="Arial" w:cs="Arial" w:eastAsia="Arial" w:hAnsi="Arial"/>
                <w:color w:val="333333"/>
                <w:sz w:val="20"/>
                <w:szCs w:val="20"/>
              </w:rPr>
              <w:t xml:space="preserve">7500291229</w:t>
            </w:r>
          </w:p>
        </w:tc>
      </w:tr>
      <w:tr>
        <w:tc>
          <w:tcPr>
            <w:tcW w:type="dxa" w:w="3200"/>
            <w:tcBorders>
              <w:top w:val="single" w:color="CCCCCC" w:sz="1"/>
              <w:left w:val="single" w:color="CCCCCC" w:sz="1"/>
              <w:bottom w:val="single" w:color="CCCCCC" w:sz="1"/>
              <w:right w:val="single" w:color="CCCCCC" w:sz="1"/>
            </w:tcBorders>
            <w:shd w:fill="1B7A8C" w:val="clear"/>
            <w:tcMar>
              <w:top w:type="dxa" w:w="120"/>
              <w:left w:type="dxa" w:w="160"/>
              <w:bottom w:type="dxa" w:w="120"/>
              <w:right w:type="dxa" w:w="160"/>
            </w:tcMar>
          </w:tcPr>
          <w:p>
            <w:r>
              <w:rPr>
                <w:rFonts w:ascii="Arial" w:cs="Arial" w:eastAsia="Arial" w:hAnsi="Arial"/>
                <w:b/>
                <w:bCs/>
                <w:color w:val="FFFFFF"/>
                <w:sz w:val="20"/>
                <w:szCs w:val="20"/>
              </w:rPr>
              <w:t xml:space="preserve">Commissioner</w:t>
            </w:r>
          </w:p>
        </w:tc>
        <w:tc>
          <w:tcPr>
            <w:tcW w:type="dxa" w:w="6160"/>
            <w:tcBorders>
              <w:top w:val="single" w:color="CCCCCC" w:sz="1"/>
              <w:left w:val="single" w:color="CCCCCC" w:sz="1"/>
              <w:bottom w:val="single" w:color="CCCCCC" w:sz="1"/>
              <w:right w:val="single" w:color="CCCCCC" w:sz="1"/>
            </w:tcBorders>
            <w:shd w:fill="F5F5F5" w:val="clear"/>
            <w:tcMar>
              <w:top w:type="dxa" w:w="120"/>
              <w:left w:type="dxa" w:w="160"/>
              <w:bottom w:type="dxa" w:w="120"/>
              <w:right w:type="dxa" w:w="160"/>
            </w:tcMar>
          </w:tcPr>
          <w:p>
            <w:r>
              <w:rPr>
                <w:rFonts w:ascii="Arial" w:cs="Arial" w:eastAsia="Arial" w:hAnsi="Arial"/>
                <w:color w:val="333333"/>
                <w:sz w:val="20"/>
                <w:szCs w:val="20"/>
              </w:rPr>
              <w:t xml:space="preserve">Trafford Council Public Health</w:t>
            </w:r>
          </w:p>
        </w:tc>
      </w:tr>
      <w:tr>
        <w:tc>
          <w:tcPr>
            <w:tcW w:type="dxa" w:w="3200"/>
            <w:tcBorders>
              <w:top w:val="single" w:color="CCCCCC" w:sz="1"/>
              <w:left w:val="single" w:color="CCCCCC" w:sz="1"/>
              <w:bottom w:val="single" w:color="CCCCCC" w:sz="1"/>
              <w:right w:val="single" w:color="CCCCCC" w:sz="1"/>
            </w:tcBorders>
            <w:shd w:fill="1B7A8C" w:val="clear"/>
            <w:tcMar>
              <w:top w:type="dxa" w:w="120"/>
              <w:left w:type="dxa" w:w="160"/>
              <w:bottom w:type="dxa" w:w="120"/>
              <w:right w:type="dxa" w:w="160"/>
            </w:tcMar>
          </w:tcPr>
          <w:p>
            <w:r>
              <w:rPr>
                <w:rFonts w:ascii="Arial" w:cs="Arial" w:eastAsia="Arial" w:hAnsi="Arial"/>
                <w:b/>
                <w:bCs/>
                <w:color w:val="FFFFFF"/>
                <w:sz w:val="20"/>
                <w:szCs w:val="20"/>
              </w:rPr>
              <w:t xml:space="preserve">Organisation</w:t>
            </w:r>
          </w:p>
        </w:tc>
        <w:tc>
          <w:tcPr>
            <w:tcW w:type="dxa" w:w="6160"/>
            <w:tcBorders>
              <w:top w:val="single" w:color="CCCCCC" w:sz="1"/>
              <w:left w:val="single" w:color="CCCCCC" w:sz="1"/>
              <w:bottom w:val="single" w:color="CCCCCC" w:sz="1"/>
              <w:right w:val="single" w:color="CCCCCC" w:sz="1"/>
            </w:tcBorders>
            <w:shd w:fill="FFFFFF" w:val="clear"/>
            <w:tcMar>
              <w:top w:type="dxa" w:w="120"/>
              <w:left w:type="dxa" w:w="160"/>
              <w:bottom w:type="dxa" w:w="120"/>
              <w:right w:type="dxa" w:w="160"/>
            </w:tcMar>
          </w:tcPr>
          <w:p>
            <w:r>
              <w:rPr>
                <w:rFonts w:ascii="Arial" w:cs="Arial" w:eastAsia="Arial" w:hAnsi="Arial"/>
                <w:color w:val="333333"/>
                <w:sz w:val="20"/>
                <w:szCs w:val="20"/>
              </w:rPr>
              <w:t xml:space="preserve">BMS Wellbeing CIC</w:t>
            </w:r>
          </w:p>
        </w:tc>
      </w:tr>
      <w:tr>
        <w:tc>
          <w:tcPr>
            <w:tcW w:type="dxa" w:w="3200"/>
            <w:tcBorders>
              <w:top w:val="single" w:color="CCCCCC" w:sz="1"/>
              <w:left w:val="single" w:color="CCCCCC" w:sz="1"/>
              <w:bottom w:val="single" w:color="CCCCCC" w:sz="1"/>
              <w:right w:val="single" w:color="CCCCCC" w:sz="1"/>
            </w:tcBorders>
            <w:shd w:fill="1B7A8C" w:val="clear"/>
            <w:tcMar>
              <w:top w:type="dxa" w:w="120"/>
              <w:left w:type="dxa" w:w="160"/>
              <w:bottom w:type="dxa" w:w="120"/>
              <w:right w:type="dxa" w:w="160"/>
            </w:tcMar>
          </w:tcPr>
          <w:p>
            <w:r>
              <w:rPr>
                <w:rFonts w:ascii="Arial" w:cs="Arial" w:eastAsia="Arial" w:hAnsi="Arial"/>
                <w:b/>
                <w:bCs/>
                <w:color w:val="FFFFFF"/>
                <w:sz w:val="20"/>
                <w:szCs w:val="20"/>
              </w:rPr>
              <w:t xml:space="preserve">Project Period</w:t>
            </w:r>
          </w:p>
        </w:tc>
        <w:tc>
          <w:tcPr>
            <w:tcW w:type="dxa" w:w="6160"/>
            <w:tcBorders>
              <w:top w:val="single" w:color="CCCCCC" w:sz="1"/>
              <w:left w:val="single" w:color="CCCCCC" w:sz="1"/>
              <w:bottom w:val="single" w:color="CCCCCC" w:sz="1"/>
              <w:right w:val="single" w:color="CCCCCC" w:sz="1"/>
            </w:tcBorders>
            <w:shd w:fill="F5F5F5" w:val="clear"/>
            <w:tcMar>
              <w:top w:type="dxa" w:w="120"/>
              <w:left w:type="dxa" w:w="160"/>
              <w:bottom w:type="dxa" w:w="120"/>
              <w:right w:type="dxa" w:w="160"/>
            </w:tcMar>
          </w:tcPr>
          <w:p>
            <w:r>
              <w:rPr>
                <w:rFonts w:ascii="Arial" w:cs="Arial" w:eastAsia="Arial" w:hAnsi="Arial"/>
                <w:color w:val="333333"/>
                <w:sz w:val="20"/>
                <w:szCs w:val="20"/>
              </w:rPr>
              <w:t xml:space="preserve">2025</w:t>
            </w:r>
          </w:p>
        </w:tc>
      </w:tr>
      <w:tr>
        <w:tc>
          <w:tcPr>
            <w:tcW w:type="dxa" w:w="3200"/>
            <w:tcBorders>
              <w:top w:val="single" w:color="CCCCCC" w:sz="1"/>
              <w:left w:val="single" w:color="CCCCCC" w:sz="1"/>
              <w:bottom w:val="single" w:color="CCCCCC" w:sz="1"/>
              <w:right w:val="single" w:color="CCCCCC" w:sz="1"/>
            </w:tcBorders>
            <w:shd w:fill="1B7A8C" w:val="clear"/>
            <w:tcMar>
              <w:top w:type="dxa" w:w="120"/>
              <w:left w:type="dxa" w:w="160"/>
              <w:bottom w:type="dxa" w:w="120"/>
              <w:right w:type="dxa" w:w="160"/>
            </w:tcMar>
          </w:tcPr>
          <w:p>
            <w:r>
              <w:rPr>
                <w:rFonts w:ascii="Arial" w:cs="Arial" w:eastAsia="Arial" w:hAnsi="Arial"/>
                <w:b/>
                <w:bCs/>
                <w:color w:val="FFFFFF"/>
                <w:sz w:val="20"/>
                <w:szCs w:val="20"/>
              </w:rPr>
              <w:t xml:space="preserve">Total Individuals Engaged</w:t>
            </w:r>
          </w:p>
        </w:tc>
        <w:tc>
          <w:tcPr>
            <w:tcW w:type="dxa" w:w="6160"/>
            <w:tcBorders>
              <w:top w:val="single" w:color="CCCCCC" w:sz="1"/>
              <w:left w:val="single" w:color="CCCCCC" w:sz="1"/>
              <w:bottom w:val="single" w:color="CCCCCC" w:sz="1"/>
              <w:right w:val="single" w:color="CCCCCC" w:sz="1"/>
            </w:tcBorders>
            <w:shd w:fill="FFFFFF" w:val="clear"/>
            <w:tcMar>
              <w:top w:type="dxa" w:w="120"/>
              <w:left w:type="dxa" w:w="160"/>
              <w:bottom w:type="dxa" w:w="120"/>
              <w:right w:type="dxa" w:w="160"/>
            </w:tcMar>
          </w:tcPr>
          <w:p>
            <w:r>
              <w:rPr>
                <w:rFonts w:ascii="Arial" w:cs="Arial" w:eastAsia="Arial" w:hAnsi="Arial"/>
                <w:color w:val="333333"/>
                <w:sz w:val="20"/>
                <w:szCs w:val="20"/>
              </w:rPr>
              <w:t xml:space="preserve">98</w:t>
            </w:r>
          </w:p>
        </w:tc>
      </w:tr>
      <w:tr>
        <w:tc>
          <w:tcPr>
            <w:tcW w:type="dxa" w:w="3200"/>
            <w:tcBorders>
              <w:top w:val="single" w:color="CCCCCC" w:sz="1"/>
              <w:left w:val="single" w:color="CCCCCC" w:sz="1"/>
              <w:bottom w:val="single" w:color="CCCCCC" w:sz="1"/>
              <w:right w:val="single" w:color="CCCCCC" w:sz="1"/>
            </w:tcBorders>
            <w:shd w:fill="1B7A8C" w:val="clear"/>
            <w:tcMar>
              <w:top w:type="dxa" w:w="120"/>
              <w:left w:type="dxa" w:w="160"/>
              <w:bottom w:type="dxa" w:w="120"/>
              <w:right w:type="dxa" w:w="160"/>
            </w:tcMar>
          </w:tcPr>
          <w:p>
            <w:r>
              <w:rPr>
                <w:rFonts w:ascii="Arial" w:cs="Arial" w:eastAsia="Arial" w:hAnsi="Arial"/>
                <w:b/>
                <w:bCs/>
                <w:color w:val="FFFFFF"/>
                <w:sz w:val="20"/>
                <w:szCs w:val="20"/>
              </w:rPr>
              <w:t xml:space="preserve">Smokers Engaged</w:t>
            </w:r>
          </w:p>
        </w:tc>
        <w:tc>
          <w:tcPr>
            <w:tcW w:type="dxa" w:w="6160"/>
            <w:tcBorders>
              <w:top w:val="single" w:color="CCCCCC" w:sz="1"/>
              <w:left w:val="single" w:color="CCCCCC" w:sz="1"/>
              <w:bottom w:val="single" w:color="CCCCCC" w:sz="1"/>
              <w:right w:val="single" w:color="CCCCCC" w:sz="1"/>
            </w:tcBorders>
            <w:shd w:fill="F5F5F5" w:val="clear"/>
            <w:tcMar>
              <w:top w:type="dxa" w:w="120"/>
              <w:left w:type="dxa" w:w="160"/>
              <w:bottom w:type="dxa" w:w="120"/>
              <w:right w:type="dxa" w:w="160"/>
            </w:tcMar>
          </w:tcPr>
          <w:p>
            <w:r>
              <w:rPr>
                <w:rFonts w:ascii="Arial" w:cs="Arial" w:eastAsia="Arial" w:hAnsi="Arial"/>
                <w:color w:val="333333"/>
                <w:sz w:val="20"/>
                <w:szCs w:val="20"/>
              </w:rPr>
              <w:t xml:space="preserve">24</w:t>
            </w:r>
          </w:p>
        </w:tc>
      </w:tr>
      <w:tr>
        <w:tc>
          <w:tcPr>
            <w:tcW w:type="dxa" w:w="3200"/>
            <w:tcBorders>
              <w:top w:val="single" w:color="CCCCCC" w:sz="1"/>
              <w:left w:val="single" w:color="CCCCCC" w:sz="1"/>
              <w:bottom w:val="single" w:color="CCCCCC" w:sz="1"/>
              <w:right w:val="single" w:color="CCCCCC" w:sz="1"/>
            </w:tcBorders>
            <w:shd w:fill="1B7A8C" w:val="clear"/>
            <w:tcMar>
              <w:top w:type="dxa" w:w="120"/>
              <w:left w:type="dxa" w:w="160"/>
              <w:bottom w:type="dxa" w:w="120"/>
              <w:right w:type="dxa" w:w="160"/>
            </w:tcMar>
          </w:tcPr>
          <w:p>
            <w:r>
              <w:rPr>
                <w:rFonts w:ascii="Arial" w:cs="Arial" w:eastAsia="Arial" w:hAnsi="Arial"/>
                <w:b/>
                <w:bCs/>
                <w:color w:val="FFFFFF"/>
                <w:sz w:val="20"/>
                <w:szCs w:val="20"/>
              </w:rPr>
              <w:t xml:space="preserve">Vapers Engaged</w:t>
            </w:r>
          </w:p>
        </w:tc>
        <w:tc>
          <w:tcPr>
            <w:tcW w:type="dxa" w:w="6160"/>
            <w:tcBorders>
              <w:top w:val="single" w:color="CCCCCC" w:sz="1"/>
              <w:left w:val="single" w:color="CCCCCC" w:sz="1"/>
              <w:bottom w:val="single" w:color="CCCCCC" w:sz="1"/>
              <w:right w:val="single" w:color="CCCCCC" w:sz="1"/>
            </w:tcBorders>
            <w:shd w:fill="FFFFFF" w:val="clear"/>
            <w:tcMar>
              <w:top w:type="dxa" w:w="120"/>
              <w:left w:type="dxa" w:w="160"/>
              <w:bottom w:type="dxa" w:w="120"/>
              <w:right w:type="dxa" w:w="160"/>
            </w:tcMar>
          </w:tcPr>
          <w:p>
            <w:r>
              <w:rPr>
                <w:rFonts w:ascii="Arial" w:cs="Arial" w:eastAsia="Arial" w:hAnsi="Arial"/>
                <w:color w:val="333333"/>
                <w:sz w:val="20"/>
                <w:szCs w:val="20"/>
              </w:rPr>
              <w:t xml:space="preserve">16</w:t>
            </w:r>
          </w:p>
        </w:tc>
      </w:tr>
      <w:tr>
        <w:tc>
          <w:tcPr>
            <w:tcW w:type="dxa" w:w="3200"/>
            <w:tcBorders>
              <w:top w:val="single" w:color="CCCCCC" w:sz="1"/>
              <w:left w:val="single" w:color="CCCCCC" w:sz="1"/>
              <w:bottom w:val="single" w:color="CCCCCC" w:sz="1"/>
              <w:right w:val="single" w:color="CCCCCC" w:sz="1"/>
            </w:tcBorders>
            <w:shd w:fill="1B7A8C" w:val="clear"/>
            <w:tcMar>
              <w:top w:type="dxa" w:w="120"/>
              <w:left w:type="dxa" w:w="160"/>
              <w:bottom w:type="dxa" w:w="120"/>
              <w:right w:type="dxa" w:w="160"/>
            </w:tcMar>
          </w:tcPr>
          <w:p>
            <w:r>
              <w:rPr>
                <w:rFonts w:ascii="Arial" w:cs="Arial" w:eastAsia="Arial" w:hAnsi="Arial"/>
                <w:b/>
                <w:bCs/>
                <w:color w:val="FFFFFF"/>
                <w:sz w:val="20"/>
                <w:szCs w:val="20"/>
              </w:rPr>
              <w:t xml:space="preserve">Delivery Model</w:t>
            </w:r>
          </w:p>
        </w:tc>
        <w:tc>
          <w:tcPr>
            <w:tcW w:type="dxa" w:w="6160"/>
            <w:tcBorders>
              <w:top w:val="single" w:color="CCCCCC" w:sz="1"/>
              <w:left w:val="single" w:color="CCCCCC" w:sz="1"/>
              <w:bottom w:val="single" w:color="CCCCCC" w:sz="1"/>
              <w:right w:val="single" w:color="CCCCCC" w:sz="1"/>
            </w:tcBorders>
            <w:shd w:fill="F5F5F5" w:val="clear"/>
            <w:tcMar>
              <w:top w:type="dxa" w:w="120"/>
              <w:left w:type="dxa" w:w="160"/>
              <w:bottom w:type="dxa" w:w="120"/>
              <w:right w:type="dxa" w:w="160"/>
            </w:tcMar>
          </w:tcPr>
          <w:p>
            <w:r>
              <w:rPr>
                <w:rFonts w:ascii="Arial" w:cs="Arial" w:eastAsia="Arial" w:hAnsi="Arial"/>
                <w:color w:val="333333"/>
                <w:sz w:val="20"/>
                <w:szCs w:val="20"/>
              </w:rPr>
              <w:t xml:space="preserve">Smoking Cessation Wellbeing Workshops and Brief Interventions</w:t>
            </w:r>
          </w:p>
        </w:tc>
      </w:tr>
    </w:tbl>
    <w:p>
      <w:pPr>
        <w:spacing w:after="60" w:before="60"/>
      </w:pPr>
      <w:r>
        <w:t xml:space="preserve"/>
      </w:r>
    </w:p>
    <w:p>
      <w:pPr>
        <w:pStyle w:val="Heading1"/>
        <w:pBdr>
          <w:bottom w:val="single" w:color="1B7A8C" w:sz="6" w:space="4"/>
        </w:pBdr>
        <w:spacing w:after="120" w:before="360"/>
      </w:pPr>
      <w:r>
        <w:rPr>
          <w:rFonts w:ascii="Arial" w:cs="Arial" w:eastAsia="Arial" w:hAnsi="Arial"/>
          <w:b/>
          <w:bCs/>
          <w:color w:val="1B7A8C"/>
          <w:sz w:val="28"/>
          <w:szCs w:val="28"/>
        </w:rPr>
        <w:t xml:space="preserve">1. Executive Summary</w:t>
      </w:r>
    </w:p>
    <w:p>
      <w:pPr>
        <w:spacing w:after="120" w:before="80"/>
      </w:pPr>
      <w:r>
        <w:rPr>
          <w:rFonts w:ascii="Arial" w:cs="Arial" w:eastAsia="Arial" w:hAnsi="Arial"/>
          <w:color w:val="333333"/>
          <w:sz w:val="22"/>
          <w:szCs w:val="22"/>
        </w:rPr>
        <w:t xml:space="preserve">BMS Wellbeing CIC was commissioned by Trafford Council Public Health to deliver Smoking Cessation Wellbeing activity across Trafford under Purchase Order 7500291229.</w:t>
      </w:r>
    </w:p>
    <w:p>
      <w:pPr>
        <w:spacing w:after="120" w:before="80"/>
      </w:pPr>
      <w:r>
        <w:rPr>
          <w:rFonts w:ascii="Arial" w:cs="Arial" w:eastAsia="Arial" w:hAnsi="Arial"/>
          <w:color w:val="333333"/>
          <w:sz w:val="22"/>
          <w:szCs w:val="22"/>
        </w:rPr>
        <w:t xml:space="preserve">The project aimed to engage individuals who are statistically more likely to smoke and less likely to access traditional smoking cessation services, including people living in deprived communities, older adults, and those in routine and manual occupations. The focus was on providing accessible, community-based support that addressed both the behavioural and wellbeing aspects of smoking.</w:t>
      </w:r>
    </w:p>
    <w:p>
      <w:pPr>
        <w:spacing w:after="120" w:before="80"/>
      </w:pPr>
      <w:r>
        <w:rPr>
          <w:rFonts w:ascii="Arial" w:cs="Arial" w:eastAsia="Arial" w:hAnsi="Arial"/>
          <w:color w:val="333333"/>
          <w:sz w:val="22"/>
          <w:szCs w:val="22"/>
        </w:rPr>
        <w:t xml:space="preserve">Delivery combined structured Smoking Cessation Wellbeing Workshops with brief smoking cessation interventions delivered in trusted, high-footfall community venues, including Sale Moor Community Centre, The Bread and Butter Thing in Sale Moor and Partington, and The Hideaway in Partington. This flexible approach allowed delivery to adapt to real-world engagement patterns and maximise reach within the agreed budget.</w:t>
      </w:r>
    </w:p>
    <w:p>
      <w:pPr>
        <w:spacing w:after="120" w:before="80"/>
      </w:pPr>
      <w:r>
        <w:rPr>
          <w:rFonts w:ascii="Arial" w:cs="Arial" w:eastAsia="Arial" w:hAnsi="Arial"/>
          <w:color w:val="333333"/>
          <w:sz w:val="22"/>
          <w:szCs w:val="22"/>
        </w:rPr>
        <w:t xml:space="preserve">Across the delivery period, a total of 98 Trafford residents were engaged through workshops and brief interventions. This included 24 individuals who identified as smokers, 16 who identified as vapers, and 57 who did not currently smoke or vape but engaged in smoking-related wellbeing conversations. Engagement with non-smokers supported early intervention and prevention, while smokers and vapers were provided with practical tools, information, and signposting to local cessation services.</w:t>
      </w:r>
    </w:p>
    <w:p>
      <w:pPr>
        <w:spacing w:after="120" w:before="80"/>
      </w:pPr>
      <w:r>
        <w:rPr>
          <w:rFonts w:ascii="Arial" w:cs="Arial" w:eastAsia="Arial" w:hAnsi="Arial"/>
          <w:color w:val="333333"/>
          <w:sz w:val="22"/>
          <w:szCs w:val="22"/>
        </w:rPr>
        <w:t xml:space="preserve">Brief interventions proved particularly effective in engaging smokers and vapers who may not otherwise access formal support. Commissioner feedback endorsed this adaptive delivery model, specifically highlighting the effectiveness of using The Bread and Butter Thing as a key engagement route.</w:t>
      </w:r>
    </w:p>
    <w:p>
      <w:pPr>
        <w:spacing w:after="120" w:before="80"/>
      </w:pPr>
      <w:r>
        <w:rPr>
          <w:rFonts w:ascii="Arial" w:cs="Arial" w:eastAsia="Arial" w:hAnsi="Arial"/>
          <w:color w:val="333333"/>
          <w:sz w:val="22"/>
          <w:szCs w:val="22"/>
        </w:rPr>
        <w:t xml:space="preserve">The project demonstrated strong value for money, responsible use of public funding, and meaningful community engagement. Learning from delivery has informed future planning and provides a strong foundation for continued collaboration with Trafford Council Public Health.</w:t>
      </w:r>
    </w:p>
    <w:p>
      <w:pPr>
        <w:pStyle w:val="Heading1"/>
        <w:pBdr>
          <w:bottom w:val="single" w:color="1B7A8C" w:sz="6" w:space="4"/>
        </w:pBdr>
        <w:spacing w:after="120" w:before="360"/>
      </w:pPr>
      <w:r>
        <w:rPr>
          <w:rFonts w:ascii="Arial" w:cs="Arial" w:eastAsia="Arial" w:hAnsi="Arial"/>
          <w:b/>
          <w:bCs/>
          <w:color w:val="1B7A8C"/>
          <w:sz w:val="28"/>
          <w:szCs w:val="28"/>
        </w:rPr>
        <w:t xml:space="preserve">2. Project Objectives</w:t>
      </w:r>
    </w:p>
    <w:p>
      <w:pPr>
        <w:spacing w:after="120" w:before="80"/>
      </w:pPr>
      <w:r>
        <w:rPr>
          <w:rFonts w:ascii="Arial" w:cs="Arial" w:eastAsia="Arial" w:hAnsi="Arial"/>
          <w:color w:val="333333"/>
          <w:sz w:val="22"/>
          <w:szCs w:val="22"/>
        </w:rPr>
        <w:t xml:space="preserve">The project was designed to deliver the following outcomes for individuals engaged across the programme.</w:t>
      </w:r>
    </w:p>
    <w:p>
      <w:pPr>
        <w:pStyle w:val="ListParagraph"/>
        <w:numPr>
          <w:ilvl w:val="0"/>
          <w:numId w:val="2"/>
        </w:numPr>
        <w:spacing w:after="40" w:before="40"/>
      </w:pPr>
      <w:r>
        <w:rPr>
          <w:rFonts w:ascii="Arial" w:cs="Arial" w:eastAsia="Arial" w:hAnsi="Arial"/>
          <w:color w:val="333333"/>
          <w:sz w:val="22"/>
          <w:szCs w:val="22"/>
        </w:rPr>
        <w:t xml:space="preserve">Increase awareness of the health risks associated with smoking.</w:t>
      </w:r>
    </w:p>
    <w:p>
      <w:pPr>
        <w:pStyle w:val="ListParagraph"/>
        <w:numPr>
          <w:ilvl w:val="0"/>
          <w:numId w:val="2"/>
        </w:numPr>
        <w:spacing w:after="40" w:before="40"/>
      </w:pPr>
      <w:r>
        <w:rPr>
          <w:rFonts w:ascii="Arial" w:cs="Arial" w:eastAsia="Arial" w:hAnsi="Arial"/>
          <w:color w:val="333333"/>
          <w:sz w:val="22"/>
          <w:szCs w:val="22"/>
        </w:rPr>
        <w:t xml:space="preserve">Improve understanding of the behavioural and social drivers of smoking.</w:t>
      </w:r>
    </w:p>
    <w:p>
      <w:pPr>
        <w:pStyle w:val="ListParagraph"/>
        <w:numPr>
          <w:ilvl w:val="0"/>
          <w:numId w:val="2"/>
        </w:numPr>
        <w:spacing w:after="40" w:before="40"/>
      </w:pPr>
      <w:r>
        <w:rPr>
          <w:rFonts w:ascii="Arial" w:cs="Arial" w:eastAsia="Arial" w:hAnsi="Arial"/>
          <w:color w:val="333333"/>
          <w:sz w:val="22"/>
          <w:szCs w:val="22"/>
        </w:rPr>
        <w:t xml:space="preserve">Support motivation and readiness to quit.</w:t>
      </w:r>
    </w:p>
    <w:p>
      <w:pPr>
        <w:pStyle w:val="ListParagraph"/>
        <w:numPr>
          <w:ilvl w:val="0"/>
          <w:numId w:val="2"/>
        </w:numPr>
        <w:spacing w:after="40" w:before="40"/>
      </w:pPr>
      <w:r>
        <w:rPr>
          <w:rFonts w:ascii="Arial" w:cs="Arial" w:eastAsia="Arial" w:hAnsi="Arial"/>
          <w:color w:val="333333"/>
          <w:sz w:val="22"/>
          <w:szCs w:val="22"/>
        </w:rPr>
        <w:t xml:space="preserve">Introduce practical cessation tools and techniques.</w:t>
      </w:r>
    </w:p>
    <w:p>
      <w:pPr>
        <w:pStyle w:val="ListParagraph"/>
        <w:numPr>
          <w:ilvl w:val="0"/>
          <w:numId w:val="2"/>
        </w:numPr>
        <w:spacing w:after="40" w:before="40"/>
      </w:pPr>
      <w:r>
        <w:rPr>
          <w:rFonts w:ascii="Arial" w:cs="Arial" w:eastAsia="Arial" w:hAnsi="Arial"/>
          <w:color w:val="333333"/>
          <w:sz w:val="22"/>
          <w:szCs w:val="22"/>
        </w:rPr>
        <w:t xml:space="preserve">Build resilience to manage cravings and reduce the risk of relapse.</w:t>
      </w:r>
    </w:p>
    <w:p>
      <w:pPr>
        <w:pStyle w:val="ListParagraph"/>
        <w:numPr>
          <w:ilvl w:val="0"/>
          <w:numId w:val="2"/>
        </w:numPr>
        <w:spacing w:after="40" w:before="40"/>
      </w:pPr>
      <w:r>
        <w:rPr>
          <w:rFonts w:ascii="Arial" w:cs="Arial" w:eastAsia="Arial" w:hAnsi="Arial"/>
          <w:color w:val="333333"/>
          <w:sz w:val="22"/>
          <w:szCs w:val="22"/>
        </w:rPr>
        <w:t xml:space="preserve">Engage individuals who may not access formal cessation services.</w:t>
      </w:r>
    </w:p>
    <w:p>
      <w:pPr>
        <w:spacing w:after="60" w:before="60"/>
      </w:pPr>
      <w:r>
        <w:t xml:space="preserve"/>
      </w:r>
    </w:p>
    <w:p>
      <w:pPr>
        <w:spacing w:after="120" w:before="80"/>
      </w:pPr>
      <w:r>
        <w:rPr>
          <w:rFonts w:ascii="Arial" w:cs="Arial" w:eastAsia="Arial" w:hAnsi="Arial"/>
          <w:color w:val="333333"/>
          <w:sz w:val="22"/>
          <w:szCs w:val="22"/>
        </w:rPr>
        <w:t xml:space="preserve">The approach recognised smoking cessation as both a physical and behavioural challenge and adopted a non-judgemental, wellbeing-focused model throughout.</w:t>
      </w:r>
    </w:p>
    <w:p>
      <w:pPr>
        <w:pStyle w:val="Heading1"/>
        <w:pBdr>
          <w:bottom w:val="single" w:color="1B7A8C" w:sz="6" w:space="4"/>
        </w:pBdr>
        <w:spacing w:after="120" w:before="360"/>
      </w:pPr>
      <w:r>
        <w:rPr>
          <w:rFonts w:ascii="Arial" w:cs="Arial" w:eastAsia="Arial" w:hAnsi="Arial"/>
          <w:b/>
          <w:bCs/>
          <w:color w:val="1B7A8C"/>
          <w:sz w:val="28"/>
          <w:szCs w:val="28"/>
        </w:rPr>
        <w:t xml:space="preserve">3. Delivery Model and Approach</w:t>
      </w:r>
    </w:p>
    <w:p>
      <w:pPr>
        <w:pStyle w:val="Heading2"/>
        <w:spacing w:after="80" w:before="240"/>
      </w:pPr>
      <w:r>
        <w:rPr>
          <w:rFonts w:ascii="Arial" w:cs="Arial" w:eastAsia="Arial" w:hAnsi="Arial"/>
          <w:b/>
          <w:bCs/>
          <w:color w:val="333333"/>
          <w:sz w:val="24"/>
          <w:szCs w:val="24"/>
        </w:rPr>
        <w:t xml:space="preserve">3.1 Workshop Delivery</w:t>
      </w:r>
    </w:p>
    <w:p>
      <w:pPr>
        <w:spacing w:after="120" w:before="80"/>
      </w:pPr>
      <w:r>
        <w:rPr>
          <w:rFonts w:ascii="Arial" w:cs="Arial" w:eastAsia="Arial" w:hAnsi="Arial"/>
          <w:color w:val="333333"/>
          <w:sz w:val="22"/>
          <w:szCs w:val="22"/>
        </w:rPr>
        <w:t xml:space="preserve">Each Smoking Cessation Wellbeing Workshop was designed as a 90-minute interactive session for up to 12 participants, creating a supportive and accessible environment. Core workshop content included the following.</w:t>
      </w:r>
    </w:p>
    <w:p>
      <w:pPr>
        <w:pStyle w:val="ListParagraph"/>
        <w:numPr>
          <w:ilvl w:val="0"/>
          <w:numId w:val="2"/>
        </w:numPr>
        <w:spacing w:after="40" w:before="40"/>
      </w:pPr>
      <w:r>
        <w:rPr>
          <w:rFonts w:ascii="Arial" w:cs="Arial" w:eastAsia="Arial" w:hAnsi="Arial"/>
          <w:color w:val="333333"/>
          <w:sz w:val="22"/>
          <w:szCs w:val="22"/>
        </w:rPr>
        <w:t xml:space="preserve">Health risks of smoking.</w:t>
      </w:r>
    </w:p>
    <w:p>
      <w:pPr>
        <w:pStyle w:val="ListParagraph"/>
        <w:numPr>
          <w:ilvl w:val="0"/>
          <w:numId w:val="2"/>
        </w:numPr>
        <w:spacing w:after="40" w:before="40"/>
      </w:pPr>
      <w:r>
        <w:rPr>
          <w:rFonts w:ascii="Arial" w:cs="Arial" w:eastAsia="Arial" w:hAnsi="Arial"/>
          <w:color w:val="333333"/>
          <w:sz w:val="22"/>
          <w:szCs w:val="22"/>
        </w:rPr>
        <w:t xml:space="preserve">Why smoking habits form and persist.</w:t>
      </w:r>
    </w:p>
    <w:p>
      <w:pPr>
        <w:pStyle w:val="ListParagraph"/>
        <w:numPr>
          <w:ilvl w:val="0"/>
          <w:numId w:val="2"/>
        </w:numPr>
        <w:spacing w:after="40" w:before="40"/>
      </w:pPr>
      <w:r>
        <w:rPr>
          <w:rFonts w:ascii="Arial" w:cs="Arial" w:eastAsia="Arial" w:hAnsi="Arial"/>
          <w:color w:val="333333"/>
          <w:sz w:val="22"/>
          <w:szCs w:val="22"/>
        </w:rPr>
        <w:t xml:space="preserve">Benefits of quitting.</w:t>
      </w:r>
    </w:p>
    <w:p>
      <w:pPr>
        <w:pStyle w:val="ListParagraph"/>
        <w:numPr>
          <w:ilvl w:val="0"/>
          <w:numId w:val="2"/>
        </w:numPr>
        <w:spacing w:after="40" w:before="40"/>
      </w:pPr>
      <w:r>
        <w:rPr>
          <w:rFonts w:ascii="Arial" w:cs="Arial" w:eastAsia="Arial" w:hAnsi="Arial"/>
          <w:color w:val="333333"/>
          <w:sz w:val="22"/>
          <w:szCs w:val="22"/>
        </w:rPr>
        <w:t xml:space="preserve">Overview of cessation aids and techniques.</w:t>
      </w:r>
    </w:p>
    <w:p>
      <w:pPr>
        <w:pStyle w:val="ListParagraph"/>
        <w:numPr>
          <w:ilvl w:val="0"/>
          <w:numId w:val="2"/>
        </w:numPr>
        <w:spacing w:after="40" w:before="40"/>
      </w:pPr>
      <w:r>
        <w:rPr>
          <w:rFonts w:ascii="Arial" w:cs="Arial" w:eastAsia="Arial" w:hAnsi="Arial"/>
          <w:color w:val="333333"/>
          <w:sz w:val="22"/>
          <w:szCs w:val="22"/>
        </w:rPr>
        <w:t xml:space="preserve">Managing cravings.</w:t>
      </w:r>
    </w:p>
    <w:p>
      <w:pPr>
        <w:pStyle w:val="ListParagraph"/>
        <w:numPr>
          <w:ilvl w:val="0"/>
          <w:numId w:val="2"/>
        </w:numPr>
        <w:spacing w:after="40" w:before="40"/>
      </w:pPr>
      <w:r>
        <w:rPr>
          <w:rFonts w:ascii="Arial" w:cs="Arial" w:eastAsia="Arial" w:hAnsi="Arial"/>
          <w:color w:val="333333"/>
          <w:sz w:val="22"/>
          <w:szCs w:val="22"/>
        </w:rPr>
        <w:t xml:space="preserve">Relapse prevention.</w:t>
      </w:r>
    </w:p>
    <w:p>
      <w:pPr>
        <w:spacing w:after="60" w:before="60"/>
      </w:pPr>
      <w:r>
        <w:t xml:space="preserve"/>
      </w:r>
    </w:p>
    <w:p>
      <w:pPr>
        <w:pStyle w:val="Heading2"/>
        <w:spacing w:after="80" w:before="240"/>
      </w:pPr>
      <w:r>
        <w:rPr>
          <w:rFonts w:ascii="Arial" w:cs="Arial" w:eastAsia="Arial" w:hAnsi="Arial"/>
          <w:b/>
          <w:bCs/>
          <w:color w:val="333333"/>
          <w:sz w:val="24"/>
          <w:szCs w:val="24"/>
        </w:rPr>
        <w:t xml:space="preserve">3.2 Brief Interventions</w:t>
      </w:r>
    </w:p>
    <w:p>
      <w:pPr>
        <w:spacing w:after="120" w:before="80"/>
      </w:pPr>
      <w:r>
        <w:rPr>
          <w:rFonts w:ascii="Arial" w:cs="Arial" w:eastAsia="Arial" w:hAnsi="Arial"/>
          <w:color w:val="333333"/>
          <w:sz w:val="22"/>
          <w:szCs w:val="22"/>
        </w:rPr>
        <w:t xml:space="preserve">Alongside structured workshops, brief smoking cessation interventions were delivered in high-footfall community venues. This approach enabled engagement with individuals who may not attend structured workshops but were receptive to information, conversation, and signposting to local services.</w:t>
      </w:r>
    </w:p>
    <w:p>
      <w:pPr>
        <w:spacing w:after="120" w:before="80"/>
      </w:pPr>
      <w:r>
        <w:rPr>
          <w:rFonts w:ascii="Arial" w:cs="Arial" w:eastAsia="Arial" w:hAnsi="Arial"/>
          <w:color w:val="333333"/>
          <w:sz w:val="22"/>
          <w:szCs w:val="22"/>
        </w:rPr>
        <w:t xml:space="preserve">Delivery was adapted in response to engagement patterns at each venue, ensuring continued reach without exceeding the agreed budget. This adaptive approach was endorsed by the commissioner, who specifically highlighted the use of The Bread and Butter Thing as a particularly effective engagement route.</w:t>
      </w:r>
    </w:p>
    <w:p>
      <w:pPr>
        <w:pStyle w:val="Heading1"/>
        <w:pBdr>
          <w:bottom w:val="single" w:color="1B7A8C" w:sz="6" w:space="4"/>
        </w:pBdr>
        <w:spacing w:after="120" w:before="360"/>
      </w:pPr>
      <w:r>
        <w:rPr>
          <w:rFonts w:ascii="Arial" w:cs="Arial" w:eastAsia="Arial" w:hAnsi="Arial"/>
          <w:b/>
          <w:bCs/>
          <w:color w:val="1B7A8C"/>
          <w:sz w:val="28"/>
          <w:szCs w:val="28"/>
        </w:rPr>
        <w:t xml:space="preserve">4. Venues and Reach</w:t>
      </w:r>
    </w:p>
    <w:p>
      <w:pPr>
        <w:spacing w:after="120" w:before="80"/>
      </w:pPr>
      <w:r>
        <w:rPr>
          <w:rFonts w:ascii="Arial" w:cs="Arial" w:eastAsia="Arial" w:hAnsi="Arial"/>
          <w:color w:val="333333"/>
          <w:sz w:val="22"/>
          <w:szCs w:val="22"/>
        </w:rPr>
        <w:t xml:space="preserve">Delivery took place across multiple trusted community settings across Trafford. Venues were selected based on footfall, community reach, and their proximity to the populations the project aimed to engage.</w:t>
      </w:r>
    </w:p>
    <w:p>
      <w:pPr>
        <w:spacing w:after="60" w:before="60"/>
      </w:pPr>
      <w:r>
        <w:t xml:space="preserve"/>
      </w:r>
    </w:p>
    <w:p>
      <w:pPr>
        <w:spacing w:after="40" w:before="80"/>
      </w:pPr>
      <w:r>
        <w:rPr>
          <w:rFonts w:ascii="Arial" w:cs="Arial" w:eastAsia="Arial" w:hAnsi="Arial"/>
          <w:b/>
          <w:bCs/>
          <w:color w:val="333333"/>
          <w:sz w:val="22"/>
          <w:szCs w:val="22"/>
        </w:rPr>
        <w:t xml:space="preserve">Sale Moor Community Centre</w:t>
      </w:r>
    </w:p>
    <w:p>
      <w:pPr>
        <w:spacing w:after="120" w:before="80"/>
      </w:pPr>
      <w:r>
        <w:rPr>
          <w:rFonts w:ascii="Arial" w:cs="Arial" w:eastAsia="Arial" w:hAnsi="Arial"/>
          <w:color w:val="333333"/>
          <w:sz w:val="22"/>
          <w:szCs w:val="22"/>
        </w:rPr>
        <w:t xml:space="preserve">Structured Smoking Cessation Wellbeing Workshops and brief interventions were delivered at Sale Moor Community Centre, reaching working-age adults and older individuals within the Sale Moor community.</w:t>
      </w:r>
    </w:p>
    <w:p>
      <w:pPr>
        <w:spacing w:after="40" w:before="80"/>
      </w:pPr>
      <w:r>
        <w:rPr>
          <w:rFonts w:ascii="Arial" w:cs="Arial" w:eastAsia="Arial" w:hAnsi="Arial"/>
          <w:b/>
          <w:bCs/>
          <w:color w:val="333333"/>
          <w:sz w:val="22"/>
          <w:szCs w:val="22"/>
        </w:rPr>
        <w:t xml:space="preserve">The Bread and Butter Thing, Sale Moor</w:t>
      </w:r>
    </w:p>
    <w:p>
      <w:pPr>
        <w:spacing w:after="120" w:before="80"/>
      </w:pPr>
      <w:r>
        <w:rPr>
          <w:rFonts w:ascii="Arial" w:cs="Arial" w:eastAsia="Arial" w:hAnsi="Arial"/>
          <w:color w:val="333333"/>
          <w:sz w:val="22"/>
          <w:szCs w:val="22"/>
        </w:rPr>
        <w:t xml:space="preserve">Brief interventions were delivered at The Bread and Butter Thing in Sale Moor, providing access to individuals engaged with this food distribution and community support service. This venue proved a particularly strong engagement route, reaching individuals who may not access formal health provision.</w:t>
      </w:r>
    </w:p>
    <w:p>
      <w:pPr>
        <w:spacing w:after="40" w:before="80"/>
      </w:pPr>
      <w:r>
        <w:rPr>
          <w:rFonts w:ascii="Arial" w:cs="Arial" w:eastAsia="Arial" w:hAnsi="Arial"/>
          <w:b/>
          <w:bCs/>
          <w:color w:val="333333"/>
          <w:sz w:val="22"/>
          <w:szCs w:val="22"/>
        </w:rPr>
        <w:t xml:space="preserve">The Bread and Butter Thing, Partington</w:t>
      </w:r>
    </w:p>
    <w:p>
      <w:pPr>
        <w:spacing w:after="120" w:before="80"/>
      </w:pPr>
      <w:r>
        <w:rPr>
          <w:rFonts w:ascii="Arial" w:cs="Arial" w:eastAsia="Arial" w:hAnsi="Arial"/>
          <w:color w:val="333333"/>
          <w:sz w:val="22"/>
          <w:szCs w:val="22"/>
        </w:rPr>
        <w:t xml:space="preserve">Brief interventions were also delivered at The Bread and Butter Thing in Partington, extending reach into this priority community and enabling engagement with residents facing socioeconomic disadvantage.</w:t>
      </w:r>
    </w:p>
    <w:p>
      <w:pPr>
        <w:spacing w:after="40" w:before="80"/>
      </w:pPr>
      <w:r>
        <w:rPr>
          <w:rFonts w:ascii="Arial" w:cs="Arial" w:eastAsia="Arial" w:hAnsi="Arial"/>
          <w:b/>
          <w:bCs/>
          <w:color w:val="333333"/>
          <w:sz w:val="22"/>
          <w:szCs w:val="22"/>
        </w:rPr>
        <w:t xml:space="preserve">The Hideaway, Partington</w:t>
      </w:r>
    </w:p>
    <w:p>
      <w:pPr>
        <w:spacing w:after="120" w:before="80"/>
      </w:pPr>
      <w:r>
        <w:rPr>
          <w:rFonts w:ascii="Arial" w:cs="Arial" w:eastAsia="Arial" w:hAnsi="Arial"/>
          <w:color w:val="333333"/>
          <w:sz w:val="22"/>
          <w:szCs w:val="22"/>
        </w:rPr>
        <w:t xml:space="preserve">The Hideaway in Partington provided an additional trusted community setting for brief intervention delivery, further extending reach within the Partington area.</w:t>
      </w:r>
    </w:p>
    <w:p>
      <w:pPr>
        <w:pStyle w:val="Heading1"/>
        <w:pBdr>
          <w:bottom w:val="single" w:color="1B7A8C" w:sz="6" w:space="4"/>
        </w:pBdr>
        <w:spacing w:after="120" w:before="360"/>
      </w:pPr>
      <w:r>
        <w:rPr>
          <w:rFonts w:ascii="Arial" w:cs="Arial" w:eastAsia="Arial" w:hAnsi="Arial"/>
          <w:b/>
          <w:bCs/>
          <w:color w:val="1B7A8C"/>
          <w:sz w:val="28"/>
          <w:szCs w:val="28"/>
        </w:rPr>
        <w:t xml:space="preserve">5. Engagement Totals</w:t>
      </w:r>
    </w:p>
    <w:p>
      <w:pPr>
        <w:pStyle w:val="Heading2"/>
        <w:spacing w:after="80" w:before="240"/>
      </w:pPr>
      <w:r>
        <w:rPr>
          <w:rFonts w:ascii="Arial" w:cs="Arial" w:eastAsia="Arial" w:hAnsi="Arial"/>
          <w:b/>
          <w:bCs/>
          <w:color w:val="333333"/>
          <w:sz w:val="24"/>
          <w:szCs w:val="24"/>
        </w:rPr>
        <w:t xml:space="preserve">5.1 Overall Reach</w:t>
      </w:r>
    </w:p>
    <w:p>
      <w:pPr>
        <w:spacing w:after="120" w:before="80"/>
      </w:pPr>
      <w:r>
        <w:rPr>
          <w:rFonts w:ascii="Arial" w:cs="Arial" w:eastAsia="Arial" w:hAnsi="Arial"/>
          <w:color w:val="333333"/>
          <w:sz w:val="22"/>
          <w:szCs w:val="22"/>
        </w:rPr>
        <w:t xml:space="preserve">Across the full delivery period, combining structured workshops and brief interventions across all venues, the confirmed cumulative engagement totals for the project were as follows.</w:t>
      </w:r>
    </w:p>
    <w:p>
      <w:pPr>
        <w:pStyle w:val="ListParagraph"/>
        <w:numPr>
          <w:ilvl w:val="0"/>
          <w:numId w:val="2"/>
        </w:numPr>
        <w:spacing w:after="40" w:before="40"/>
      </w:pPr>
      <w:r>
        <w:rPr>
          <w:rFonts w:ascii="Arial" w:cs="Arial" w:eastAsia="Arial" w:hAnsi="Arial"/>
          <w:color w:val="333333"/>
          <w:sz w:val="22"/>
          <w:szCs w:val="22"/>
        </w:rPr>
        <w:t xml:space="preserve">Total individuals engaged: 98.</w:t>
      </w:r>
    </w:p>
    <w:p>
      <w:pPr>
        <w:pStyle w:val="ListParagraph"/>
        <w:numPr>
          <w:ilvl w:val="0"/>
          <w:numId w:val="2"/>
        </w:numPr>
        <w:spacing w:after="40" w:before="40"/>
      </w:pPr>
      <w:r>
        <w:rPr>
          <w:rFonts w:ascii="Arial" w:cs="Arial" w:eastAsia="Arial" w:hAnsi="Arial"/>
          <w:color w:val="333333"/>
          <w:sz w:val="22"/>
          <w:szCs w:val="22"/>
        </w:rPr>
        <w:t xml:space="preserve">Smokers: 24.</w:t>
      </w:r>
    </w:p>
    <w:p>
      <w:pPr>
        <w:pStyle w:val="ListParagraph"/>
        <w:numPr>
          <w:ilvl w:val="0"/>
          <w:numId w:val="2"/>
        </w:numPr>
        <w:spacing w:after="40" w:before="40"/>
      </w:pPr>
      <w:r>
        <w:rPr>
          <w:rFonts w:ascii="Arial" w:cs="Arial" w:eastAsia="Arial" w:hAnsi="Arial"/>
          <w:color w:val="333333"/>
          <w:sz w:val="22"/>
          <w:szCs w:val="22"/>
        </w:rPr>
        <w:t xml:space="preserve">Vapers: 16.</w:t>
      </w:r>
    </w:p>
    <w:p>
      <w:pPr>
        <w:pStyle w:val="ListParagraph"/>
        <w:numPr>
          <w:ilvl w:val="0"/>
          <w:numId w:val="2"/>
        </w:numPr>
        <w:spacing w:after="40" w:before="40"/>
      </w:pPr>
      <w:r>
        <w:rPr>
          <w:rFonts w:ascii="Arial" w:cs="Arial" w:eastAsia="Arial" w:hAnsi="Arial"/>
          <w:color w:val="333333"/>
          <w:sz w:val="22"/>
          <w:szCs w:val="22"/>
        </w:rPr>
        <w:t xml:space="preserve">Non-smokers engaged in smoking-related wellbeing conversations: 57.</w:t>
      </w:r>
    </w:p>
    <w:p>
      <w:pPr>
        <w:spacing w:after="60" w:before="60"/>
      </w:pPr>
      <w:r>
        <w:t xml:space="preserve"/>
      </w:r>
    </w:p>
    <w:p>
      <w:pPr>
        <w:spacing w:after="120" w:before="80"/>
      </w:pPr>
      <w:r>
        <w:rPr>
          <w:rFonts w:ascii="Arial" w:cs="Arial" w:eastAsia="Arial" w:hAnsi="Arial"/>
          <w:color w:val="333333"/>
          <w:sz w:val="22"/>
          <w:szCs w:val="22"/>
        </w:rPr>
        <w:t xml:space="preserve">Engagement with non-smokers represented an important early intervention and prevention strand of the project, creating opportunities to address attitudes and awareness before smoking behaviours become established.</w:t>
      </w:r>
    </w:p>
    <w:p>
      <w:pPr>
        <w:pStyle w:val="Heading2"/>
        <w:spacing w:after="80" w:before="240"/>
      </w:pPr>
      <w:r>
        <w:rPr>
          <w:rFonts w:ascii="Arial" w:cs="Arial" w:eastAsia="Arial" w:hAnsi="Arial"/>
          <w:b/>
          <w:bCs/>
          <w:color w:val="333333"/>
          <w:sz w:val="24"/>
          <w:szCs w:val="24"/>
        </w:rPr>
        <w:t xml:space="preserve">5.2 Interpretation of Engagement Data</w:t>
      </w:r>
    </w:p>
    <w:p>
      <w:pPr>
        <w:spacing w:after="120" w:before="80"/>
      </w:pPr>
      <w:r>
        <w:rPr>
          <w:rFonts w:ascii="Arial" w:cs="Arial" w:eastAsia="Arial" w:hAnsi="Arial"/>
          <w:color w:val="333333"/>
          <w:sz w:val="22"/>
          <w:szCs w:val="22"/>
        </w:rPr>
        <w:t xml:space="preserve">The engagement data demonstrates that the project reached a substantial number of Trafford residents through community-based delivery, successfully engaged smokers and vapers alongside individuals not currently smoking, created opportunities for early intervention and prevention, and maximised reach through brief interventions without exceeding the commissioned budget.</w:t>
      </w:r>
    </w:p>
    <w:p>
      <w:pPr>
        <w:spacing w:after="120" w:before="80"/>
      </w:pPr>
      <w:r>
        <w:rPr>
          <w:rFonts w:ascii="Arial" w:cs="Arial" w:eastAsia="Arial" w:hAnsi="Arial"/>
          <w:color w:val="333333"/>
          <w:sz w:val="22"/>
          <w:szCs w:val="22"/>
        </w:rPr>
        <w:t xml:space="preserve">The proportion of smokers and vapers engaged highlights the effectiveness of delivering smoking cessation support within trusted, high-footfall community settings, where individuals are more likely to be receptive to conversation than in formal health service environments.</w:t>
      </w:r>
    </w:p>
    <w:p>
      <w:pPr>
        <w:pStyle w:val="Heading1"/>
        <w:pBdr>
          <w:bottom w:val="single" w:color="1B7A8C" w:sz="6" w:space="4"/>
        </w:pBdr>
        <w:spacing w:after="120" w:before="360"/>
      </w:pPr>
      <w:r>
        <w:rPr>
          <w:rFonts w:ascii="Arial" w:cs="Arial" w:eastAsia="Arial" w:hAnsi="Arial"/>
          <w:b/>
          <w:bCs/>
          <w:color w:val="1B7A8C"/>
          <w:sz w:val="28"/>
          <w:szCs w:val="28"/>
        </w:rPr>
        <w:t xml:space="preserve">6. Monitoring and Equalities Data</w:t>
      </w:r>
    </w:p>
    <w:p>
      <w:pPr>
        <w:spacing w:after="120" w:before="80"/>
      </w:pPr>
      <w:r>
        <w:rPr>
          <w:rFonts w:ascii="Arial" w:cs="Arial" w:eastAsia="Arial" w:hAnsi="Arial"/>
          <w:color w:val="333333"/>
          <w:sz w:val="22"/>
          <w:szCs w:val="22"/>
        </w:rPr>
        <w:t xml:space="preserve">Monitoring data was collected on a voluntary and proportionate basis, recognising the informal nature of brief interventions. Where quantitative data was limited, practitioner observation and engagement patterns informed narrative reporting.</w:t>
      </w:r>
    </w:p>
    <w:p>
      <w:pPr>
        <w:spacing w:after="120" w:before="80"/>
      </w:pPr>
      <w:r>
        <w:rPr>
          <w:rFonts w:ascii="Arial" w:cs="Arial" w:eastAsia="Arial" w:hAnsi="Arial"/>
          <w:color w:val="333333"/>
          <w:sz w:val="22"/>
          <w:szCs w:val="22"/>
        </w:rPr>
        <w:t xml:space="preserve">Age: Participants represented a broad adult age range, including working-age adults and older individuals, aligning with groups known to have higher smoking prevalence and more entrenched smoking behaviours.</w:t>
      </w:r>
    </w:p>
    <w:p>
      <w:pPr>
        <w:spacing w:after="120" w:before="80"/>
      </w:pPr>
      <w:r>
        <w:rPr>
          <w:rFonts w:ascii="Arial" w:cs="Arial" w:eastAsia="Arial" w:hAnsi="Arial"/>
          <w:color w:val="333333"/>
          <w:sz w:val="22"/>
          <w:szCs w:val="22"/>
        </w:rPr>
        <w:t xml:space="preserve">Gender: Both men and women engaged across all venues, with no single gender group disproportionately represented.</w:t>
      </w:r>
    </w:p>
    <w:p>
      <w:pPr>
        <w:spacing w:after="120" w:before="80"/>
      </w:pPr>
      <w:r>
        <w:rPr>
          <w:rFonts w:ascii="Arial" w:cs="Arial" w:eastAsia="Arial" w:hAnsi="Arial"/>
          <w:color w:val="333333"/>
          <w:sz w:val="22"/>
          <w:szCs w:val="22"/>
        </w:rPr>
        <w:t xml:space="preserve">Ethnicity: Engagement reflected the diversity of the local communities served, particularly through delivery at Sale Moor Community Centre and The Bread and Butter Thing.</w:t>
      </w:r>
    </w:p>
    <w:p>
      <w:pPr>
        <w:spacing w:after="120" w:before="80"/>
      </w:pPr>
      <w:r>
        <w:rPr>
          <w:rFonts w:ascii="Arial" w:cs="Arial" w:eastAsia="Arial" w:hAnsi="Arial"/>
          <w:color w:val="333333"/>
          <w:sz w:val="22"/>
          <w:szCs w:val="22"/>
        </w:rPr>
        <w:t xml:space="preserve">Sexual orientation: Disclosure was voluntary and limited, which is typical in brief community health interventions. Delivery was inclusive and non-judgemental throughout.</w:t>
      </w:r>
    </w:p>
    <w:p>
      <w:pPr>
        <w:spacing w:after="120" w:before="80"/>
      </w:pPr>
      <w:r>
        <w:rPr>
          <w:rFonts w:ascii="Arial" w:cs="Arial" w:eastAsia="Arial" w:hAnsi="Arial"/>
          <w:color w:val="333333"/>
          <w:sz w:val="22"/>
          <w:szCs w:val="22"/>
        </w:rPr>
        <w:t xml:space="preserve">Socioeconomic disadvantage: A number of participants discussed eligibility for free prescriptions or wider financial pressures, confirming engagement with individuals experiencing economic disadvantage. Engagement also included individuals in routine and manual occupations, alongside those not currently in employment.</w:t>
      </w:r>
    </w:p>
    <w:p>
      <w:pPr>
        <w:spacing w:after="120" w:before="80"/>
      </w:pPr>
      <w:r>
        <w:rPr>
          <w:rFonts w:ascii="Arial" w:cs="Arial" w:eastAsia="Arial" w:hAnsi="Arial"/>
          <w:color w:val="333333"/>
          <w:sz w:val="22"/>
          <w:szCs w:val="22"/>
        </w:rPr>
        <w:t xml:space="preserve">Caring responsibilities: Some participants identified as informal carers or discussed caring responsibilities, highlighting the additional pressures linked to smoking behaviour in this group.</w:t>
      </w:r>
    </w:p>
    <w:p>
      <w:pPr>
        <w:spacing w:after="120" w:before="80"/>
      </w:pPr>
      <w:r>
        <w:rPr>
          <w:rFonts w:ascii="Arial" w:cs="Arial" w:eastAsia="Arial" w:hAnsi="Arial"/>
          <w:color w:val="333333"/>
          <w:sz w:val="22"/>
          <w:szCs w:val="22"/>
        </w:rPr>
        <w:t xml:space="preserve">Referral source: The majority of engagement occurred through direct contact at community venues, word of mouth, and informal signposting by venue staff and volunteers.</w:t>
      </w:r>
    </w:p>
    <w:p>
      <w:pPr>
        <w:pStyle w:val="Heading1"/>
        <w:pBdr>
          <w:bottom w:val="single" w:color="1B7A8C" w:sz="6" w:space="4"/>
        </w:pBdr>
        <w:spacing w:after="120" w:before="360"/>
      </w:pPr>
      <w:r>
        <w:rPr>
          <w:rFonts w:ascii="Arial" w:cs="Arial" w:eastAsia="Arial" w:hAnsi="Arial"/>
          <w:b/>
          <w:bCs/>
          <w:color w:val="1B7A8C"/>
          <w:sz w:val="28"/>
          <w:szCs w:val="28"/>
        </w:rPr>
        <w:t xml:space="preserve">7. Outcomes and Impact</w:t>
      </w:r>
    </w:p>
    <w:p>
      <w:pPr>
        <w:spacing w:after="120" w:before="80"/>
      </w:pPr>
      <w:r>
        <w:rPr>
          <w:rFonts w:ascii="Arial" w:cs="Arial" w:eastAsia="Arial" w:hAnsi="Arial"/>
          <w:color w:val="333333"/>
          <w:sz w:val="22"/>
          <w:szCs w:val="22"/>
        </w:rPr>
        <w:t xml:space="preserve">Although the project did not operate as a clinical cessation service, it delivered meaningful outcomes across all participants engaged. The evidence gathered across the delivery period demonstrates the following.</w:t>
      </w:r>
    </w:p>
    <w:p>
      <w:pPr>
        <w:pStyle w:val="ListParagraph"/>
        <w:numPr>
          <w:ilvl w:val="0"/>
          <w:numId w:val="2"/>
        </w:numPr>
        <w:spacing w:after="40" w:before="40"/>
      </w:pPr>
      <w:r>
        <w:rPr>
          <w:rFonts w:ascii="Arial" w:cs="Arial" w:eastAsia="Arial" w:hAnsi="Arial"/>
          <w:color w:val="333333"/>
          <w:sz w:val="22"/>
          <w:szCs w:val="22"/>
        </w:rPr>
        <w:t xml:space="preserve">Increased awareness of smoking-related health risks.</w:t>
      </w:r>
    </w:p>
    <w:p>
      <w:pPr>
        <w:pStyle w:val="ListParagraph"/>
        <w:numPr>
          <w:ilvl w:val="0"/>
          <w:numId w:val="2"/>
        </w:numPr>
        <w:spacing w:after="40" w:before="40"/>
      </w:pPr>
      <w:r>
        <w:rPr>
          <w:rFonts w:ascii="Arial" w:cs="Arial" w:eastAsia="Arial" w:hAnsi="Arial"/>
          <w:color w:val="333333"/>
          <w:sz w:val="22"/>
          <w:szCs w:val="22"/>
        </w:rPr>
        <w:t xml:space="preserve">Improved understanding of personal smoking triggers and the behavioural drivers of smoking.</w:t>
      </w:r>
    </w:p>
    <w:p>
      <w:pPr>
        <w:pStyle w:val="ListParagraph"/>
        <w:numPr>
          <w:ilvl w:val="0"/>
          <w:numId w:val="2"/>
        </w:numPr>
        <w:spacing w:after="40" w:before="40"/>
      </w:pPr>
      <w:r>
        <w:rPr>
          <w:rFonts w:ascii="Arial" w:cs="Arial" w:eastAsia="Arial" w:hAnsi="Arial"/>
          <w:color w:val="333333"/>
          <w:sz w:val="22"/>
          <w:szCs w:val="22"/>
        </w:rPr>
        <w:t xml:space="preserve">Increased confidence in cessation tools and techniques.</w:t>
      </w:r>
    </w:p>
    <w:p>
      <w:pPr>
        <w:pStyle w:val="ListParagraph"/>
        <w:numPr>
          <w:ilvl w:val="0"/>
          <w:numId w:val="2"/>
        </w:numPr>
        <w:spacing w:after="40" w:before="40"/>
      </w:pPr>
      <w:r>
        <w:rPr>
          <w:rFonts w:ascii="Arial" w:cs="Arial" w:eastAsia="Arial" w:hAnsi="Arial"/>
          <w:color w:val="333333"/>
          <w:sz w:val="22"/>
          <w:szCs w:val="22"/>
        </w:rPr>
        <w:t xml:space="preserve">Increased motivation to consider quitting among smokers and vapers.</w:t>
      </w:r>
    </w:p>
    <w:p>
      <w:pPr>
        <w:pStyle w:val="ListParagraph"/>
        <w:numPr>
          <w:ilvl w:val="0"/>
          <w:numId w:val="2"/>
        </w:numPr>
        <w:spacing w:after="40" w:before="40"/>
      </w:pPr>
      <w:r>
        <w:rPr>
          <w:rFonts w:ascii="Arial" w:cs="Arial" w:eastAsia="Arial" w:hAnsi="Arial"/>
          <w:color w:val="333333"/>
          <w:sz w:val="22"/>
          <w:szCs w:val="22"/>
        </w:rPr>
        <w:t xml:space="preserve">Improved awareness of relapse prevention strategies.</w:t>
      </w:r>
    </w:p>
    <w:p>
      <w:pPr>
        <w:pStyle w:val="ListParagraph"/>
        <w:numPr>
          <w:ilvl w:val="0"/>
          <w:numId w:val="2"/>
        </w:numPr>
        <w:spacing w:after="40" w:before="40"/>
      </w:pPr>
      <w:r>
        <w:rPr>
          <w:rFonts w:ascii="Arial" w:cs="Arial" w:eastAsia="Arial" w:hAnsi="Arial"/>
          <w:color w:val="333333"/>
          <w:sz w:val="22"/>
          <w:szCs w:val="22"/>
        </w:rPr>
        <w:t xml:space="preserve">Improved knowledge of local smoking cessation services and how to access them.</w:t>
      </w:r>
    </w:p>
    <w:p>
      <w:pPr>
        <w:spacing w:after="60" w:before="60"/>
      </w:pPr>
      <w:r>
        <w:t xml:space="preserve"/>
      </w:r>
    </w:p>
    <w:p>
      <w:pPr>
        <w:spacing w:after="120" w:before="80"/>
      </w:pPr>
      <w:r>
        <w:rPr>
          <w:rFonts w:ascii="Arial" w:cs="Arial" w:eastAsia="Arial" w:hAnsi="Arial"/>
          <w:color w:val="333333"/>
          <w:sz w:val="22"/>
          <w:szCs w:val="22"/>
        </w:rPr>
        <w:t xml:space="preserve">Brief interventions were particularly effective in initiating smoking-related conversations with individuals who may not otherwise engage with formal services. The non-judgemental, wellbeing-focused model adopted by BMS Wellbeing CIC created an environment in which participants felt comfortable discussing their smoking behaviour and considering change.</w:t>
      </w:r>
    </w:p>
    <w:p>
      <w:pPr>
        <w:pStyle w:val="Heading1"/>
        <w:pBdr>
          <w:bottom w:val="single" w:color="1B7A8C" w:sz="6" w:space="4"/>
        </w:pBdr>
        <w:spacing w:after="120" w:before="360"/>
      </w:pPr>
      <w:r>
        <w:rPr>
          <w:rFonts w:ascii="Arial" w:cs="Arial" w:eastAsia="Arial" w:hAnsi="Arial"/>
          <w:b/>
          <w:bCs/>
          <w:color w:val="1B7A8C"/>
          <w:sz w:val="28"/>
          <w:szCs w:val="28"/>
        </w:rPr>
        <w:t xml:space="preserve">8. Learning and Adaptive Delivery</w:t>
      </w:r>
    </w:p>
    <w:p>
      <w:pPr>
        <w:spacing w:after="120" w:before="80"/>
      </w:pPr>
      <w:r>
        <w:rPr>
          <w:rFonts w:ascii="Arial" w:cs="Arial" w:eastAsia="Arial" w:hAnsi="Arial"/>
          <w:color w:val="333333"/>
          <w:sz w:val="22"/>
          <w:szCs w:val="22"/>
        </w:rPr>
        <w:t xml:space="preserve">Key learning from the project that will inform future delivery is set out below.</w:t>
      </w:r>
    </w:p>
    <w:p>
      <w:pPr>
        <w:pStyle w:val="ListParagraph"/>
        <w:numPr>
          <w:ilvl w:val="0"/>
          <w:numId w:val="2"/>
        </w:numPr>
        <w:spacing w:after="40" w:before="40"/>
      </w:pPr>
      <w:r>
        <w:rPr>
          <w:rFonts w:ascii="Arial" w:cs="Arial" w:eastAsia="Arial" w:hAnsi="Arial"/>
          <w:color w:val="333333"/>
          <w:sz w:val="22"/>
          <w:szCs w:val="22"/>
        </w:rPr>
        <w:t xml:space="preserve">Brief interventions are highly effective in high-footfall community settings and should be considered a primary delivery mechanism alongside structured workshops.</w:t>
      </w:r>
    </w:p>
    <w:p>
      <w:pPr>
        <w:pStyle w:val="ListParagraph"/>
        <w:numPr>
          <w:ilvl w:val="0"/>
          <w:numId w:val="2"/>
        </w:numPr>
        <w:spacing w:after="40" w:before="40"/>
      </w:pPr>
      <w:r>
        <w:rPr>
          <w:rFonts w:ascii="Arial" w:cs="Arial" w:eastAsia="Arial" w:hAnsi="Arial"/>
          <w:color w:val="333333"/>
          <w:sz w:val="22"/>
          <w:szCs w:val="22"/>
        </w:rPr>
        <w:t xml:space="preserve">The Bread and Butter Thing provided a particularly strong engagement route, reaching individuals who would not typically attend formal health or cessation services.</w:t>
      </w:r>
    </w:p>
    <w:p>
      <w:pPr>
        <w:pStyle w:val="ListParagraph"/>
        <w:numPr>
          <w:ilvl w:val="0"/>
          <w:numId w:val="2"/>
        </w:numPr>
        <w:spacing w:after="40" w:before="40"/>
      </w:pPr>
      <w:r>
        <w:rPr>
          <w:rFonts w:ascii="Arial" w:cs="Arial" w:eastAsia="Arial" w:hAnsi="Arial"/>
          <w:color w:val="333333"/>
          <w:sz w:val="22"/>
          <w:szCs w:val="22"/>
        </w:rPr>
        <w:t xml:space="preserve">Structured workshops are most effective where venue attendance patterns are consistent and predictable.</w:t>
      </w:r>
    </w:p>
    <w:p>
      <w:pPr>
        <w:pStyle w:val="ListParagraph"/>
        <w:numPr>
          <w:ilvl w:val="0"/>
          <w:numId w:val="2"/>
        </w:numPr>
        <w:spacing w:after="40" w:before="40"/>
      </w:pPr>
      <w:r>
        <w:rPr>
          <w:rFonts w:ascii="Arial" w:cs="Arial" w:eastAsia="Arial" w:hAnsi="Arial"/>
          <w:color w:val="333333"/>
          <w:sz w:val="22"/>
          <w:szCs w:val="22"/>
        </w:rPr>
        <w:t xml:space="preserve">Flexibility in delivery format is essential to maximise reach and ensure value for money across varied community contexts.</w:t>
      </w:r>
    </w:p>
    <w:p>
      <w:pPr>
        <w:spacing w:after="60" w:before="60"/>
      </w:pPr>
      <w:r>
        <w:t xml:space="preserve"/>
      </w:r>
    </w:p>
    <w:p>
      <w:pPr>
        <w:spacing w:after="120" w:before="80"/>
      </w:pPr>
      <w:r>
        <w:rPr>
          <w:rFonts w:ascii="Arial" w:cs="Arial" w:eastAsia="Arial" w:hAnsi="Arial"/>
          <w:color w:val="333333"/>
          <w:sz w:val="22"/>
          <w:szCs w:val="22"/>
        </w:rPr>
        <w:t xml:space="preserve">Delivery was adapted responsibly where engagement at structured workshops was lower than anticipated, ensuring continued reach across Trafford without exceeding the agreed budget. This approach was endorsed by the commissioner as a demonstration of responsible and responsive delivery.</w:t>
      </w:r>
    </w:p>
    <w:p>
      <w:pPr>
        <w:pStyle w:val="Heading1"/>
        <w:pBdr>
          <w:bottom w:val="single" w:color="1B7A8C" w:sz="6" w:space="4"/>
        </w:pBdr>
        <w:spacing w:after="120" w:before="360"/>
      </w:pPr>
      <w:r>
        <w:rPr>
          <w:rFonts w:ascii="Arial" w:cs="Arial" w:eastAsia="Arial" w:hAnsi="Arial"/>
          <w:b/>
          <w:bCs/>
          <w:color w:val="1B7A8C"/>
          <w:sz w:val="28"/>
          <w:szCs w:val="28"/>
        </w:rPr>
        <w:t xml:space="preserve">9. Commissioner Relationship</w:t>
      </w:r>
    </w:p>
    <w:p>
      <w:pPr>
        <w:spacing w:after="120" w:before="80"/>
      </w:pPr>
      <w:r>
        <w:rPr>
          <w:rFonts w:ascii="Arial" w:cs="Arial" w:eastAsia="Arial" w:hAnsi="Arial"/>
          <w:color w:val="333333"/>
          <w:sz w:val="22"/>
          <w:szCs w:val="22"/>
        </w:rPr>
        <w:t xml:space="preserve">Trafford Council Public Health responded positively to delivery updates throughout the project period and endorsed the adaptive approach taken. Confidence was expressed in practitioner judgement, particularly in relation to prioritising brief interventions where these proved most effective.</w:t>
      </w:r>
    </w:p>
    <w:p>
      <w:pPr>
        <w:spacing w:after="120" w:before="80"/>
      </w:pPr>
      <w:r>
        <w:rPr>
          <w:rFonts w:ascii="Arial" w:cs="Arial" w:eastAsia="Arial" w:hAnsi="Arial"/>
          <w:color w:val="333333"/>
          <w:sz w:val="22"/>
          <w:szCs w:val="22"/>
        </w:rPr>
        <w:t xml:space="preserve">Trafford Council confirmed openness to continued collaboration and future commissioning discussions, reinforcing a strong and constructive working relationship. The commissioner confirmed flexibility in future funding routes, including both multi-year funding applications and targeted projects below the £9,999 procurement threshold.</w:t>
      </w:r>
    </w:p>
    <w:p>
      <w:pPr>
        <w:pStyle w:val="Heading1"/>
        <w:pBdr>
          <w:bottom w:val="single" w:color="1B7A8C" w:sz="6" w:space="4"/>
        </w:pBdr>
        <w:spacing w:after="120" w:before="360"/>
      </w:pPr>
      <w:r>
        <w:rPr>
          <w:rFonts w:ascii="Arial" w:cs="Arial" w:eastAsia="Arial" w:hAnsi="Arial"/>
          <w:b/>
          <w:bCs/>
          <w:color w:val="1B7A8C"/>
          <w:sz w:val="28"/>
          <w:szCs w:val="28"/>
        </w:rPr>
        <w:t xml:space="preserve">10. Future Delivery</w:t>
      </w:r>
    </w:p>
    <w:p>
      <w:pPr>
        <w:spacing w:after="120" w:before="80"/>
      </w:pPr>
      <w:r>
        <w:rPr>
          <w:rFonts w:ascii="Arial" w:cs="Arial" w:eastAsia="Arial" w:hAnsi="Arial"/>
          <w:color w:val="333333"/>
          <w:sz w:val="22"/>
          <w:szCs w:val="22"/>
        </w:rPr>
        <w:t xml:space="preserve">Based on learning from this project, BMS Wellbeing CIC has identified clear opportunities to expand delivery through brief smoking cessation interventions delivered in partnership with The Bread and Butter Thing across their Trafford venues.</w:t>
      </w:r>
    </w:p>
    <w:p>
      <w:pPr>
        <w:spacing w:after="120" w:before="80"/>
      </w:pPr>
      <w:r>
        <w:rPr>
          <w:rFonts w:ascii="Arial" w:cs="Arial" w:eastAsia="Arial" w:hAnsi="Arial"/>
          <w:color w:val="333333"/>
          <w:sz w:val="22"/>
          <w:szCs w:val="22"/>
        </w:rPr>
        <w:t xml:space="preserve">A proposed future model would involve visiting each venue two to three times over a six-month period, supporting repeat engagement, relationship building, and increased reach into the communities served. This model would build on the established trust and engagement developed through the current project and extend the impact of smoking cessation support across a wider geographic footprint within Trafford.</w:t>
      </w:r>
    </w:p>
    <w:p>
      <w:pPr>
        <w:pStyle w:val="Heading1"/>
        <w:pBdr>
          <w:bottom w:val="single" w:color="1B7A8C" w:sz="6" w:space="4"/>
        </w:pBdr>
        <w:spacing w:after="120" w:before="360"/>
      </w:pPr>
      <w:r>
        <w:rPr>
          <w:rFonts w:ascii="Arial" w:cs="Arial" w:eastAsia="Arial" w:hAnsi="Arial"/>
          <w:b/>
          <w:bCs/>
          <w:color w:val="1B7A8C"/>
          <w:sz w:val="28"/>
          <w:szCs w:val="28"/>
        </w:rPr>
        <w:t xml:space="preserve">11. Summary of Impact</w:t>
      </w:r>
    </w:p>
    <w:p>
      <w:pPr>
        <w:spacing w:after="120" w:before="80"/>
      </w:pPr>
      <w:r>
        <w:rPr>
          <w:rFonts w:ascii="Arial" w:cs="Arial" w:eastAsia="Arial" w:hAnsi="Arial"/>
          <w:color w:val="333333"/>
          <w:sz w:val="22"/>
          <w:szCs w:val="22"/>
        </w:rPr>
        <w:t xml:space="preserve">The Smoking Cessation Wellbeing Project delivered by BMS Wellbeing CIC under Trafford Council Public Health commission successfully engaged 98 Trafford residents across multiple community settings through a flexible model combining structured workshops and brief interventions. The evidence gathered across the delivery period demonstrates the following.</w:t>
      </w:r>
    </w:p>
    <w:p>
      <w:pPr>
        <w:pStyle w:val="ListParagraph"/>
        <w:numPr>
          <w:ilvl w:val="0"/>
          <w:numId w:val="2"/>
        </w:numPr>
        <w:spacing w:after="40" w:before="40"/>
      </w:pPr>
      <w:r>
        <w:rPr>
          <w:rFonts w:ascii="Arial" w:cs="Arial" w:eastAsia="Arial" w:hAnsi="Arial"/>
          <w:color w:val="333333"/>
          <w:sz w:val="22"/>
          <w:szCs w:val="22"/>
        </w:rPr>
        <w:t xml:space="preserve">98 Trafford residents were engaged across all delivery activity, substantially extending reach through the brief intervention model.</w:t>
      </w:r>
    </w:p>
    <w:p>
      <w:pPr>
        <w:pStyle w:val="ListParagraph"/>
        <w:numPr>
          <w:ilvl w:val="0"/>
          <w:numId w:val="2"/>
        </w:numPr>
        <w:spacing w:after="40" w:before="40"/>
      </w:pPr>
      <w:r>
        <w:rPr>
          <w:rFonts w:ascii="Arial" w:cs="Arial" w:eastAsia="Arial" w:hAnsi="Arial"/>
          <w:color w:val="333333"/>
          <w:sz w:val="22"/>
          <w:szCs w:val="22"/>
        </w:rPr>
        <w:t xml:space="preserve">24 smokers and 16 vapers received practical tools, information, and signposting to local cessation services.</w:t>
      </w:r>
    </w:p>
    <w:p>
      <w:pPr>
        <w:pStyle w:val="ListParagraph"/>
        <w:numPr>
          <w:ilvl w:val="0"/>
          <w:numId w:val="2"/>
        </w:numPr>
        <w:spacing w:after="40" w:before="40"/>
      </w:pPr>
      <w:r>
        <w:rPr>
          <w:rFonts w:ascii="Arial" w:cs="Arial" w:eastAsia="Arial" w:hAnsi="Arial"/>
          <w:color w:val="333333"/>
          <w:sz w:val="22"/>
          <w:szCs w:val="22"/>
        </w:rPr>
        <w:t xml:space="preserve">57 non-smokers were engaged in smoking-related wellbeing conversations, creating meaningful early intervention and prevention activity.</w:t>
      </w:r>
    </w:p>
    <w:p>
      <w:pPr>
        <w:pStyle w:val="ListParagraph"/>
        <w:numPr>
          <w:ilvl w:val="0"/>
          <w:numId w:val="2"/>
        </w:numPr>
        <w:spacing w:after="40" w:before="40"/>
      </w:pPr>
      <w:r>
        <w:rPr>
          <w:rFonts w:ascii="Arial" w:cs="Arial" w:eastAsia="Arial" w:hAnsi="Arial"/>
          <w:color w:val="333333"/>
          <w:sz w:val="22"/>
          <w:szCs w:val="22"/>
        </w:rPr>
        <w:t xml:space="preserve">Outcomes were achieved across all six project objectives, including increased awareness, improved understanding of triggers, greater motivation to quit, and improved knowledge of local services.</w:t>
      </w:r>
    </w:p>
    <w:p>
      <w:pPr>
        <w:pStyle w:val="ListParagraph"/>
        <w:numPr>
          <w:ilvl w:val="0"/>
          <w:numId w:val="2"/>
        </w:numPr>
        <w:spacing w:after="40" w:before="40"/>
      </w:pPr>
      <w:r>
        <w:rPr>
          <w:rFonts w:ascii="Arial" w:cs="Arial" w:eastAsia="Arial" w:hAnsi="Arial"/>
          <w:color w:val="333333"/>
          <w:sz w:val="22"/>
          <w:szCs w:val="22"/>
        </w:rPr>
        <w:t xml:space="preserve">The adaptive delivery model demonstrated responsible use of the commissioned budget and maximised reach within the agreed value.</w:t>
      </w:r>
    </w:p>
    <w:p>
      <w:pPr>
        <w:pStyle w:val="ListParagraph"/>
        <w:numPr>
          <w:ilvl w:val="0"/>
          <w:numId w:val="2"/>
        </w:numPr>
        <w:spacing w:after="40" w:before="40"/>
      </w:pPr>
      <w:r>
        <w:rPr>
          <w:rFonts w:ascii="Arial" w:cs="Arial" w:eastAsia="Arial" w:hAnsi="Arial"/>
          <w:color w:val="333333"/>
          <w:sz w:val="22"/>
          <w:szCs w:val="22"/>
        </w:rPr>
        <w:t xml:space="preserve">Commissioner feedback was positive, endorsing the approach taken and confirming openness to continued collaboration.</w:t>
      </w:r>
    </w:p>
    <w:p>
      <w:pPr>
        <w:pStyle w:val="ListParagraph"/>
        <w:numPr>
          <w:ilvl w:val="0"/>
          <w:numId w:val="2"/>
        </w:numPr>
        <w:spacing w:after="40" w:before="40"/>
      </w:pPr>
      <w:r>
        <w:rPr>
          <w:rFonts w:ascii="Arial" w:cs="Arial" w:eastAsia="Arial" w:hAnsi="Arial"/>
          <w:color w:val="333333"/>
          <w:sz w:val="22"/>
          <w:szCs w:val="22"/>
        </w:rPr>
        <w:t xml:space="preserve">Learning from this project provides a strong foundation for an expanded brief intervention model across Trafford in partnership with The Bread and Butter Thing.</w:t>
      </w:r>
    </w:p>
    <w:p>
      <w:pPr>
        <w:spacing w:after="60" w:before="60"/>
      </w:pPr>
      <w:r>
        <w:t xml:space="preserve"/>
      </w:r>
    </w:p>
    <w:p>
      <w:pPr>
        <w:spacing w:after="120" w:before="80"/>
      </w:pPr>
      <w:r>
        <w:rPr>
          <w:rFonts w:ascii="Arial" w:cs="Arial" w:eastAsia="Arial" w:hAnsi="Arial"/>
          <w:color w:val="333333"/>
          <w:sz w:val="22"/>
          <w:szCs w:val="22"/>
        </w:rPr>
        <w:t xml:space="preserve">BMS Wellbeing CIC wishes to thank Trafford Council Public Health for the commissioning and support that made this project possible, all venue partners who provided accessible community settings for delivery, and every individual who engaged with the project across the delivery period.</w:t>
      </w:r>
    </w:p>
    <w:p>
      <w:pPr>
        <w:spacing w:after="60" w:before="60"/>
      </w:pPr>
      <w:r>
        <w:t xml:space="preserve"/>
      </w:r>
    </w:p>
    <w:p>
      <w:pPr>
        <w:spacing w:before="240"/>
        <w:jc w:val="center"/>
      </w:pPr>
      <w:r>
        <w:rPr>
          <w:rFonts w:ascii="Arial" w:cs="Arial" w:eastAsia="Arial" w:hAnsi="Arial"/>
          <w:i/>
          <w:iCs/>
          <w:color w:val="666666"/>
          <w:sz w:val="18"/>
          <w:szCs w:val="18"/>
        </w:rPr>
        <w:t xml:space="preserve">BMS Wellbeing CIC  |  www.bmswellbeing.com  |  joelwhite@bmswellbeing.com  |  07853 629 771</w:t>
      </w:r>
    </w:p>
    <w:p>
      <w:pPr>
        <w:spacing w:before="60"/>
        <w:jc w:val="center"/>
      </w:pPr>
      <w:r>
        <w:rPr>
          <w:rFonts w:ascii="Arial" w:cs="Arial" w:eastAsia="Arial" w:hAnsi="Arial"/>
          <w:i/>
          <w:iCs/>
          <w:color w:val="666666"/>
          <w:sz w:val="18"/>
          <w:szCs w:val="18"/>
        </w:rPr>
        <w:t xml:space="preserve">Commissioned by Trafford Council Public Health  |  Purchase Order 7500291229</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7A8C" w:sz="6" w:space="4"/>
      </w:pBdr>
      <w:tabs>
        <w:tab w:val="right" w:pos="9026"/>
      </w:tabs>
      <w:spacing w:before="120"/>
    </w:pPr>
    <w:r>
      <w:rPr>
        <w:rFonts w:ascii="Arial" w:cs="Arial" w:eastAsia="Arial" w:hAnsi="Arial"/>
        <w:color w:val="666666"/>
        <w:sz w:val="16"/>
        <w:szCs w:val="16"/>
      </w:rPr>
      <w:t xml:space="preserve">www.bmswellbeing.com  |  joelwhite@bmswellbeing.com  |  07853 629 771</w:t>
    </w:r>
    <w:r>
      <w:rPr>
        <w:rFonts w:ascii="Arial" w:cs="Arial" w:eastAsia="Arial" w:hAnsi="Arial"/>
        <w:color w:val="666666"/>
        <w:sz w:val="16"/>
        <w:szCs w:val="16"/>
      </w:rPr>
      <w:t xml:space="preserve">	Purchase Order 7500291229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7A8C" w:sz="6" w:space="4"/>
      </w:pBdr>
      <w:spacing w:after="120"/>
    </w:pPr>
    <w:r>
      <w:rPr>
        <w:rFonts w:ascii="Arial" w:cs="Arial" w:eastAsia="Arial" w:hAnsi="Arial"/>
        <w:color w:val="666666"/>
        <w:sz w:val="18"/>
        <w:szCs w:val="18"/>
      </w:rPr>
      <w:t xml:space="preserve">BMS WELLBEING CIC  |  Smoking Cessation Wellbeing Project  |  Trafford Council Funding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B7A8C"/>
      <w:sz w:val="28"/>
      <w:szCs w:val="28"/>
    </w:rPr>
  </w:style>
  <w:style w:type="paragraph" w:styleId="Heading2">
    <w:name w:val="Heading 2"/>
    <w:basedOn w:val="Normal"/>
    <w:next w:val="Normal"/>
    <w:qFormat/>
    <w:pPr>
      <w:spacing w:after="80" w:before="240"/>
      <w:outlineLvl w:val="1"/>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2026-04-08T08:25:09.649Z</dcterms:created>
  <dcterms:modified xsi:type="dcterms:W3CDTF">2026-04-08T08:25:09.649Z</dcterms:modified>
</cp:coreProperties>
</file>

<file path=docProps/custom.xml><?xml version="1.0" encoding="utf-8"?>
<Properties xmlns="http://schemas.openxmlformats.org/officeDocument/2006/custom-properties" xmlns:vt="http://schemas.openxmlformats.org/officeDocument/2006/docPropsVTypes"/>
</file>