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160" w:before="480"/>
        <w:jc w:val="center"/>
      </w:pPr>
      <w:r>
        <w:rPr>
          <w:rFonts w:ascii="Arial" w:cs="Arial" w:eastAsia="Arial" w:hAnsi="Arial"/>
          <w:b/>
          <w:bCs/>
          <w:color w:val="1B7A8A"/>
          <w:sz w:val="40"/>
          <w:szCs w:val="40"/>
        </w:rPr>
        <w:t xml:space="preserve">BMS WELLBEING CIC</w:t>
      </w:r>
    </w:p>
    <w:p>
      <w:pPr>
        <w:spacing w:after="400" w:before="0"/>
        <w:jc w:val="center"/>
      </w:pPr>
      <w:r>
        <w:rPr>
          <w:rFonts w:ascii="Arial" w:cs="Arial" w:eastAsia="Arial" w:hAnsi="Arial"/>
          <w:i/>
          <w:iCs/>
          <w:color w:val="333333"/>
          <w:sz w:val="28"/>
          <w:szCs w:val="28"/>
        </w:rPr>
        <w:t xml:space="preserve">Understanding You</w:t>
      </w:r>
    </w:p>
    <w:p>
      <w:pPr>
        <w:pBdr>
          <w:top w:val="single" w:color="1B7A8A" w:sz="4"/>
          <w:bottom w:val="single" w:color="1B7A8A" w:sz="4"/>
        </w:pBdr>
        <w:shd w:fill="E8F4F6" w:val="clear"/>
        <w:spacing w:after="200" w:before="200"/>
        <w:jc w:val="center"/>
      </w:pPr>
      <w:r>
        <w:rPr>
          <w:rFonts w:ascii="Arial" w:cs="Arial" w:eastAsia="Arial" w:hAnsi="Arial"/>
          <w:b/>
          <w:bCs/>
          <w:color w:val="1B7A8A"/>
          <w:sz w:val="32"/>
          <w:szCs w:val="32"/>
        </w:rPr>
        <w:t xml:space="preserve">WELLBEING WORKSHOP PROGRAMME</w:t>
      </w:r>
    </w:p>
    <w:p>
      <w:pPr>
        <w:spacing w:after="120" w:before="200"/>
        <w:jc w:val="center"/>
      </w:pPr>
      <w:r>
        <w:rPr>
          <w:rFonts w:ascii="Arial" w:cs="Arial" w:eastAsia="Arial" w:hAnsi="Arial"/>
          <w:color w:val="333333"/>
          <w:sz w:val="26"/>
          <w:szCs w:val="26"/>
        </w:rPr>
        <w:t xml:space="preserve">End of Programme Evaluation Report</w:t>
      </w:r>
    </w:p>
    <w:p>
      <w:pPr>
        <w:spacing w:after="80" w:before="80"/>
        <w:jc w:val="center"/>
      </w:pPr>
      <w:r>
        <w:rPr>
          <w:rFonts w:ascii="Arial" w:cs="Arial" w:eastAsia="Arial" w:hAnsi="Arial"/>
          <w:color w:val="333333"/>
          <w:sz w:val="22"/>
          <w:szCs w:val="22"/>
        </w:rPr>
        <w:t xml:space="preserve">National Lottery Awards for All Grant Reference: 20304989</w:t>
      </w:r>
    </w:p>
    <w:p>
      <w:pPr>
        <w:spacing w:after="480" w:before="80"/>
        <w:jc w:val="center"/>
      </w:pPr>
      <w:r>
        <w:rPr>
          <w:rFonts w:ascii="Arial" w:cs="Arial" w:eastAsia="Arial" w:hAnsi="Arial"/>
          <w:color w:val="333333"/>
          <w:sz w:val="22"/>
          <w:szCs w:val="22"/>
        </w:rPr>
        <w:t xml:space="preserve">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Grant Reference</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20304989</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Funder</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National Lottery Awards for All</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Organisation</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BMS Wellbeing CIC</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Reporting Period</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2025 to 2026</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Total Registered Participants</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223</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Total Venues</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15</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Total Workshop Attendances</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348</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Workshops Delivered</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5 Ways to Wellbeing, Confidence in Communication, Healthy Eating, Mindfulness, Move for Your Mood, Sleep, Smoking Cessation, Stress and Relaxation</w:t>
            </w:r>
          </w:p>
        </w:tc>
      </w:tr>
    </w:tbl>
    <w:p>
      <w:pPr>
        <w:spacing w:after="80" w:before="80"/>
      </w:pPr>
      <w:r>
        <w:t xml:space="preserve"/>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1. Executive Summary</w:t>
      </w:r>
    </w:p>
    <w:p>
      <w:pPr>
        <w:spacing w:after="120" w:before="80"/>
      </w:pPr>
      <w:r>
        <w:rPr>
          <w:rFonts w:ascii="Arial" w:cs="Arial" w:eastAsia="Arial" w:hAnsi="Arial"/>
          <w:color w:val="333333"/>
          <w:sz w:val="22"/>
          <w:szCs w:val="22"/>
        </w:rPr>
        <w:t xml:space="preserve">BMS Wellbeing CIC has delivered a comprehensive community wellbeing programme across East Manchester and Greater Manchester under National Lottery Awards for All grant reference 20304989. The programme engaged 223 registered participants across 15 venues, recording 348 individual workshop attendances. Eight distinct workshop topics were delivered by qualified facilitators across a diverse range of community, education, and voluntary sector settings.</w:t>
      </w:r>
    </w:p>
    <w:p>
      <w:pPr>
        <w:spacing w:after="120" w:before="80"/>
      </w:pPr>
      <w:r>
        <w:rPr>
          <w:rFonts w:ascii="Arial" w:cs="Arial" w:eastAsia="Arial" w:hAnsi="Arial"/>
          <w:color w:val="333333"/>
          <w:sz w:val="22"/>
          <w:szCs w:val="22"/>
        </w:rPr>
        <w:t xml:space="preserve">This report draws on pre-questionnaire data, post-workshop evaluation forms, registers, and session summaries gathered across all venues and all workshop types. The evidence demonstrates consistent, high-quality delivery with measurable positive impact on participant wellbeing, knowledge, and behaviour change intention. Participant satisfaction was uniformly high across every venue and every workshop type. Every participant who responded to the recommendation question said they would recommend the workshops to friends and family.</w:t>
      </w:r>
    </w:p>
    <w:p>
      <w:pPr>
        <w:spacing w:after="120" w:before="80"/>
      </w:pPr>
      <w:r>
        <w:rPr>
          <w:rFonts w:ascii="Arial" w:cs="Arial" w:eastAsia="Arial" w:hAnsi="Arial"/>
          <w:color w:val="333333"/>
          <w:sz w:val="22"/>
          <w:szCs w:val="22"/>
        </w:rPr>
        <w:t xml:space="preserve">The programme successfully reached individuals facing a wide range of personal, social, and economic challenges, including those claiming Universal Credit, Personal Independence Payment, Employment and Support Allowance, and Disability Living Allowance. The participant base spanned a broad age range from 19 to 78 and represented significant ethnic and cultural diversity across Greater Manchester. Workshops were accessible, inclusive, and valued across all groups.</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2. Programme Objectives</w:t>
      </w:r>
    </w:p>
    <w:p>
      <w:pPr>
        <w:spacing w:after="120" w:before="80"/>
      </w:pPr>
      <w:r>
        <w:rPr>
          <w:rFonts w:ascii="Arial" w:cs="Arial" w:eastAsia="Arial" w:hAnsi="Arial"/>
          <w:color w:val="333333"/>
          <w:sz w:val="22"/>
          <w:szCs w:val="22"/>
        </w:rPr>
        <w:t xml:space="preserve">The programme was designed to demonstrate the following outcomes among all individuals who engaged in the wellbeing workshops.</w:t>
      </w:r>
    </w:p>
    <w:p>
      <w:pPr>
        <w:spacing w:after="80" w:before="80"/>
      </w:pPr>
      <w:r>
        <w:t xml:space="preserve"/>
      </w:r>
    </w:p>
    <w:p>
      <w:pPr>
        <w:pStyle w:val="ListParagraph"/>
        <w:numPr>
          <w:ilvl w:val="0"/>
          <w:numId w:val="2"/>
        </w:numPr>
        <w:spacing w:after="60" w:before="60"/>
      </w:pPr>
      <w:r>
        <w:rPr>
          <w:rFonts w:ascii="Arial" w:cs="Arial" w:eastAsia="Arial" w:hAnsi="Arial"/>
          <w:color w:val="333333"/>
          <w:sz w:val="22"/>
          <w:szCs w:val="22"/>
        </w:rPr>
        <w:t xml:space="preserve">Reduced isolation and increased connection with community.</w:t>
      </w:r>
    </w:p>
    <w:p>
      <w:pPr>
        <w:pStyle w:val="ListParagraph"/>
        <w:numPr>
          <w:ilvl w:val="0"/>
          <w:numId w:val="2"/>
        </w:numPr>
        <w:spacing w:after="60" w:before="60"/>
      </w:pPr>
      <w:r>
        <w:rPr>
          <w:rFonts w:ascii="Arial" w:cs="Arial" w:eastAsia="Arial" w:hAnsi="Arial"/>
          <w:color w:val="333333"/>
          <w:sz w:val="22"/>
          <w:szCs w:val="22"/>
        </w:rPr>
        <w:t xml:space="preserve">Improvement in knowledge and understanding around their own health and wellbeing.</w:t>
      </w:r>
    </w:p>
    <w:p>
      <w:pPr>
        <w:pStyle w:val="ListParagraph"/>
        <w:numPr>
          <w:ilvl w:val="0"/>
          <w:numId w:val="2"/>
        </w:numPr>
        <w:spacing w:after="60" w:before="60"/>
      </w:pPr>
      <w:r>
        <w:rPr>
          <w:rFonts w:ascii="Arial" w:cs="Arial" w:eastAsia="Arial" w:hAnsi="Arial"/>
          <w:color w:val="333333"/>
          <w:sz w:val="22"/>
          <w:szCs w:val="22"/>
        </w:rPr>
        <w:t xml:space="preserve">Participants feeling more able to make a change to their own health and wellbeing.</w:t>
      </w:r>
    </w:p>
    <w:p>
      <w:pPr>
        <w:pStyle w:val="ListParagraph"/>
        <w:numPr>
          <w:ilvl w:val="0"/>
          <w:numId w:val="2"/>
        </w:numPr>
        <w:spacing w:after="60" w:before="60"/>
      </w:pPr>
      <w:r>
        <w:rPr>
          <w:rFonts w:ascii="Arial" w:cs="Arial" w:eastAsia="Arial" w:hAnsi="Arial"/>
          <w:color w:val="333333"/>
          <w:sz w:val="22"/>
          <w:szCs w:val="22"/>
        </w:rPr>
        <w:t xml:space="preserve">Development in participants’ levels of emotional resilience.</w:t>
      </w:r>
    </w:p>
    <w:p>
      <w:pPr>
        <w:spacing w:after="80" w:before="80"/>
      </w:pPr>
      <w:r>
        <w:t xml:space="preserve"/>
      </w:r>
    </w:p>
    <w:p>
      <w:pPr>
        <w:spacing w:after="120" w:before="80"/>
      </w:pPr>
      <w:r>
        <w:rPr>
          <w:rFonts w:ascii="Arial" w:cs="Arial" w:eastAsia="Arial" w:hAnsi="Arial"/>
          <w:color w:val="333333"/>
          <w:sz w:val="22"/>
          <w:szCs w:val="22"/>
        </w:rPr>
        <w:t xml:space="preserve">The sections that follow set out the evidence gathered across all venues and all workshop types and demonstrate how each of these objectives was met across the programme.</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3. Programme Delivery</w:t>
      </w:r>
    </w:p>
    <w:p>
      <w:pPr>
        <w:pStyle w:val="Heading2"/>
        <w:spacing w:after="160" w:before="300"/>
      </w:pPr>
      <w:r>
        <w:rPr>
          <w:rFonts w:ascii="Arial" w:cs="Arial" w:eastAsia="Arial" w:hAnsi="Arial"/>
          <w:b/>
          <w:bCs/>
          <w:color w:val="1B7A8A"/>
          <w:sz w:val="26"/>
          <w:szCs w:val="26"/>
        </w:rPr>
        <w:t xml:space="preserve">2.1 Venues and Reach</w:t>
      </w:r>
    </w:p>
    <w:p>
      <w:pPr>
        <w:spacing w:after="120" w:before="80"/>
      </w:pPr>
      <w:r>
        <w:rPr>
          <w:rFonts w:ascii="Arial" w:cs="Arial" w:eastAsia="Arial" w:hAnsi="Arial"/>
          <w:color w:val="333333"/>
          <w:sz w:val="22"/>
          <w:szCs w:val="22"/>
        </w:rPr>
        <w:t xml:space="preserve">The programme was delivered across 15 venues spanning East Manchester and the wider Greater Manchester area. Venues are listed below, beginning with the four core East Manchester venues that formed the primary base of delivery, followed by the additional community and partner venues at which the programme was extended.</w:t>
      </w:r>
    </w:p>
    <w:p>
      <w:pPr>
        <w:spacing w:after="80" w:before="80"/>
      </w:pPr>
      <w:r>
        <w:t xml:space="preserve"/>
      </w:r>
    </w:p>
    <w:p>
      <w:pPr>
        <w:spacing w:after="120" w:before="240"/>
      </w:pPr>
      <w:r>
        <w:rPr>
          <w:rFonts w:ascii="Arial" w:cs="Arial" w:eastAsia="Arial" w:hAnsi="Arial"/>
          <w:b/>
          <w:bCs/>
          <w:color w:val="333333"/>
          <w:sz w:val="24"/>
          <w:szCs w:val="24"/>
        </w:rPr>
        <w:t xml:space="preserve">Core East Manchester Venues</w:t>
      </w:r>
    </w:p>
    <w:p>
      <w:pPr>
        <w:spacing w:after="40" w:before="80"/>
      </w:pPr>
      <w:r>
        <w:rPr>
          <w:rFonts w:ascii="Arial" w:cs="Arial" w:eastAsia="Arial" w:hAnsi="Arial"/>
          <w:b/>
          <w:bCs/>
          <w:color w:val="1B7A8A"/>
          <w:sz w:val="22"/>
          <w:szCs w:val="22"/>
        </w:rPr>
        <w:t xml:space="preserve">The Grange Resource Centre</w:t>
      </w:r>
    </w:p>
    <w:p>
      <w:pPr>
        <w:spacing w:after="120" w:before="80"/>
      </w:pPr>
      <w:r>
        <w:rPr>
          <w:rFonts w:ascii="Arial" w:cs="Arial" w:eastAsia="Arial" w:hAnsi="Arial"/>
          <w:color w:val="333333"/>
          <w:sz w:val="22"/>
          <w:szCs w:val="22"/>
        </w:rPr>
        <w:t xml:space="preserve">Old Hall Drive, Beswick, Manchester, M11 3SX</w:t>
      </w:r>
    </w:p>
    <w:p>
      <w:pPr>
        <w:spacing w:after="40" w:before="120"/>
      </w:pPr>
      <w:r>
        <w:rPr>
          <w:rFonts w:ascii="Arial" w:cs="Arial" w:eastAsia="Arial" w:hAnsi="Arial"/>
          <w:b/>
          <w:bCs/>
          <w:color w:val="1B7A8A"/>
          <w:sz w:val="22"/>
          <w:szCs w:val="22"/>
        </w:rPr>
        <w:t xml:space="preserve">Manchester Settlement</w:t>
      </w:r>
    </w:p>
    <w:p>
      <w:pPr>
        <w:spacing w:after="120" w:before="80"/>
      </w:pPr>
      <w:r>
        <w:rPr>
          <w:rFonts w:ascii="Arial" w:cs="Arial" w:eastAsia="Arial" w:hAnsi="Arial"/>
          <w:color w:val="333333"/>
          <w:sz w:val="22"/>
          <w:szCs w:val="22"/>
        </w:rPr>
        <w:t xml:space="preserve">1328-1330 Ashton Old Road, Openshaw, Manchester, M11 1JG</w:t>
      </w:r>
    </w:p>
    <w:p>
      <w:pPr>
        <w:spacing w:after="40" w:before="120"/>
      </w:pPr>
      <w:r>
        <w:rPr>
          <w:rFonts w:ascii="Arial" w:cs="Arial" w:eastAsia="Arial" w:hAnsi="Arial"/>
          <w:b/>
          <w:bCs/>
          <w:color w:val="1B7A8A"/>
          <w:sz w:val="22"/>
          <w:szCs w:val="22"/>
        </w:rPr>
        <w:t xml:space="preserve">Gorton Central</w:t>
      </w:r>
    </w:p>
    <w:p>
      <w:pPr>
        <w:spacing w:after="120" w:before="80"/>
      </w:pPr>
      <w:r>
        <w:rPr>
          <w:rFonts w:ascii="Arial" w:cs="Arial" w:eastAsia="Arial" w:hAnsi="Arial"/>
          <w:color w:val="333333"/>
          <w:sz w:val="22"/>
          <w:szCs w:val="22"/>
        </w:rPr>
        <w:t xml:space="preserve">Gorton Library and Community Hub, 100 Peel Street, Gorton, Manchester, M18 8QT</w:t>
      </w:r>
    </w:p>
    <w:p>
      <w:pPr>
        <w:spacing w:after="40" w:before="120"/>
      </w:pPr>
      <w:r>
        <w:rPr>
          <w:rFonts w:ascii="Arial" w:cs="Arial" w:eastAsia="Arial" w:hAnsi="Arial"/>
          <w:b/>
          <w:bCs/>
          <w:color w:val="1B7A8A"/>
          <w:sz w:val="22"/>
          <w:szCs w:val="22"/>
        </w:rPr>
        <w:t xml:space="preserve">Clayton Sure Start Centre</w:t>
      </w:r>
    </w:p>
    <w:p>
      <w:pPr>
        <w:spacing w:after="120" w:before="80"/>
      </w:pPr>
      <w:r>
        <w:rPr>
          <w:rFonts w:ascii="Arial" w:cs="Arial" w:eastAsia="Arial" w:hAnsi="Arial"/>
          <w:color w:val="333333"/>
          <w:sz w:val="22"/>
          <w:szCs w:val="22"/>
        </w:rPr>
        <w:t xml:space="preserve">Clayton Sure Start Centre, North Road, Clayton, Manchester, M11 4EJ</w:t>
      </w:r>
    </w:p>
    <w:p>
      <w:pPr>
        <w:spacing w:after="80" w:before="80"/>
      </w:pPr>
      <w:r>
        <w:t xml:space="preserve"/>
      </w:r>
    </w:p>
    <w:p>
      <w:pPr>
        <w:spacing w:after="120" w:before="240"/>
      </w:pPr>
      <w:r>
        <w:rPr>
          <w:rFonts w:ascii="Arial" w:cs="Arial" w:eastAsia="Arial" w:hAnsi="Arial"/>
          <w:b/>
          <w:bCs/>
          <w:color w:val="333333"/>
          <w:sz w:val="24"/>
          <w:szCs w:val="24"/>
        </w:rPr>
        <w:t xml:space="preserve">Additional and Partner Venues</w:t>
      </w:r>
    </w:p>
    <w:p>
      <w:pPr>
        <w:spacing w:after="120" w:before="80"/>
      </w:pPr>
      <w:r>
        <w:rPr>
          <w:rFonts w:ascii="Arial" w:cs="Arial" w:eastAsia="Arial" w:hAnsi="Arial"/>
          <w:color w:val="333333"/>
          <w:sz w:val="22"/>
          <w:szCs w:val="22"/>
        </w:rPr>
        <w:t xml:space="preserve">The programme was also extended to the following community and partner venues across Greater Manchester.</w:t>
      </w:r>
    </w:p>
    <w:p>
      <w:pPr>
        <w:spacing w:after="80" w:before="80"/>
      </w:pPr>
      <w:r>
        <w:t xml:space="preserve"/>
      </w:r>
    </w:p>
    <w:p>
      <w:pPr>
        <w:spacing w:after="40" w:before="80"/>
      </w:pPr>
      <w:r>
        <w:rPr>
          <w:rFonts w:ascii="Arial" w:cs="Arial" w:eastAsia="Arial" w:hAnsi="Arial"/>
          <w:b/>
          <w:bCs/>
          <w:color w:val="1B7A8A"/>
          <w:sz w:val="22"/>
          <w:szCs w:val="22"/>
        </w:rPr>
        <w:t xml:space="preserve">Back on Track</w:t>
      </w:r>
    </w:p>
    <w:p>
      <w:pPr>
        <w:spacing w:after="120" w:before="80"/>
      </w:pPr>
      <w:r>
        <w:rPr>
          <w:rFonts w:ascii="Arial" w:cs="Arial" w:eastAsia="Arial" w:hAnsi="Arial"/>
          <w:color w:val="333333"/>
          <w:sz w:val="22"/>
          <w:szCs w:val="22"/>
        </w:rPr>
        <w:t xml:space="preserve">Swan Street, Manchester City Centre, Manchester, M4 5JW</w:t>
      </w:r>
    </w:p>
    <w:p>
      <w:pPr>
        <w:spacing w:after="40" w:before="120"/>
      </w:pPr>
      <w:r>
        <w:rPr>
          <w:rFonts w:ascii="Arial" w:cs="Arial" w:eastAsia="Arial" w:hAnsi="Arial"/>
          <w:b/>
          <w:bCs/>
          <w:color w:val="1B7A8A"/>
          <w:sz w:val="22"/>
          <w:szCs w:val="22"/>
        </w:rPr>
        <w:t xml:space="preserve">Cee Bee Gold / Manchester Settlement</w:t>
      </w:r>
    </w:p>
    <w:p>
      <w:pPr>
        <w:spacing w:after="120" w:before="80"/>
      </w:pPr>
      <w:r>
        <w:rPr>
          <w:rFonts w:ascii="Arial" w:cs="Arial" w:eastAsia="Arial" w:hAnsi="Arial"/>
          <w:color w:val="333333"/>
          <w:sz w:val="22"/>
          <w:szCs w:val="22"/>
        </w:rPr>
        <w:t xml:space="preserve">1328-1330 Ashton Old Road, Openshaw, Manchester, M11 1JG</w:t>
      </w:r>
    </w:p>
    <w:p>
      <w:pPr>
        <w:spacing w:after="40" w:before="120"/>
      </w:pPr>
      <w:r>
        <w:rPr>
          <w:rFonts w:ascii="Arial" w:cs="Arial" w:eastAsia="Arial" w:hAnsi="Arial"/>
          <w:b/>
          <w:bCs/>
          <w:color w:val="1B7A8A"/>
          <w:sz w:val="22"/>
          <w:szCs w:val="22"/>
        </w:rPr>
        <w:t xml:space="preserve">Gorse Hill Studios</w:t>
      </w:r>
    </w:p>
    <w:p>
      <w:pPr>
        <w:spacing w:after="120" w:before="80"/>
      </w:pPr>
      <w:r>
        <w:rPr>
          <w:rFonts w:ascii="Arial" w:cs="Arial" w:eastAsia="Arial" w:hAnsi="Arial"/>
          <w:color w:val="333333"/>
          <w:sz w:val="22"/>
          <w:szCs w:val="22"/>
        </w:rPr>
        <w:t xml:space="preserve">90 Talbot Road, Stretford, Manchester, M32 0XL</w:t>
      </w:r>
    </w:p>
    <w:p>
      <w:pPr>
        <w:spacing w:after="40" w:before="120"/>
      </w:pPr>
      <w:r>
        <w:rPr>
          <w:rFonts w:ascii="Arial" w:cs="Arial" w:eastAsia="Arial" w:hAnsi="Arial"/>
          <w:b/>
          <w:bCs/>
          <w:color w:val="1B7A8A"/>
          <w:sz w:val="22"/>
          <w:szCs w:val="22"/>
        </w:rPr>
        <w:t xml:space="preserve">Great Places</w:t>
      </w:r>
    </w:p>
    <w:p>
      <w:pPr>
        <w:spacing w:after="120" w:before="80"/>
      </w:pPr>
      <w:r>
        <w:rPr>
          <w:rFonts w:ascii="Arial" w:cs="Arial" w:eastAsia="Arial" w:hAnsi="Arial"/>
          <w:color w:val="333333"/>
          <w:sz w:val="22"/>
          <w:szCs w:val="22"/>
        </w:rPr>
        <w:t xml:space="preserve">Southern Gate, 729 Princess Road, Didsbury, Manchester, M20 2LT</w:t>
      </w:r>
    </w:p>
    <w:p>
      <w:pPr>
        <w:spacing w:after="40" w:before="120"/>
      </w:pPr>
      <w:r>
        <w:rPr>
          <w:rFonts w:ascii="Arial" w:cs="Arial" w:eastAsia="Arial" w:hAnsi="Arial"/>
          <w:b/>
          <w:bCs/>
          <w:color w:val="1B7A8A"/>
          <w:sz w:val="22"/>
          <w:szCs w:val="22"/>
        </w:rPr>
        <w:t xml:space="preserve">Ida Kinsey</w:t>
      </w:r>
    </w:p>
    <w:p>
      <w:pPr>
        <w:spacing w:after="120" w:before="80"/>
      </w:pPr>
      <w:r>
        <w:rPr>
          <w:rFonts w:ascii="Arial" w:cs="Arial" w:eastAsia="Arial" w:hAnsi="Arial"/>
          <w:color w:val="333333"/>
          <w:sz w:val="22"/>
          <w:szCs w:val="22"/>
        </w:rPr>
        <w:t xml:space="preserve">Ida Kinsey House, Nell Lane, West Didsbury, Manchester, M20 2WH</w:t>
      </w:r>
    </w:p>
    <w:p>
      <w:pPr>
        <w:spacing w:after="40" w:before="120"/>
      </w:pPr>
      <w:r>
        <w:rPr>
          <w:rFonts w:ascii="Arial" w:cs="Arial" w:eastAsia="Arial" w:hAnsi="Arial"/>
          <w:b/>
          <w:bCs/>
          <w:color w:val="1B7A8A"/>
          <w:sz w:val="22"/>
          <w:szCs w:val="22"/>
        </w:rPr>
        <w:t xml:space="preserve">L+Q Thomas Street</w:t>
      </w:r>
    </w:p>
    <w:p>
      <w:pPr>
        <w:spacing w:after="120" w:before="80"/>
      </w:pPr>
      <w:r>
        <w:rPr>
          <w:rFonts w:ascii="Arial" w:cs="Arial" w:eastAsia="Arial" w:hAnsi="Arial"/>
          <w:color w:val="333333"/>
          <w:sz w:val="22"/>
          <w:szCs w:val="22"/>
        </w:rPr>
        <w:t xml:space="preserve">Thomas Street, Manchester City Centre, Manchester, M4 1EU</w:t>
      </w:r>
    </w:p>
    <w:p>
      <w:pPr>
        <w:spacing w:after="40" w:before="120"/>
      </w:pPr>
      <w:r>
        <w:rPr>
          <w:rFonts w:ascii="Arial" w:cs="Arial" w:eastAsia="Arial" w:hAnsi="Arial"/>
          <w:b/>
          <w:bCs/>
          <w:color w:val="1B7A8A"/>
          <w:sz w:val="22"/>
          <w:szCs w:val="22"/>
        </w:rPr>
        <w:t xml:space="preserve">No. 93 Clayton</w:t>
      </w:r>
    </w:p>
    <w:p>
      <w:pPr>
        <w:spacing w:after="120" w:before="80"/>
      </w:pPr>
      <w:r>
        <w:rPr>
          <w:rFonts w:ascii="Arial" w:cs="Arial" w:eastAsia="Arial" w:hAnsi="Arial"/>
          <w:color w:val="333333"/>
          <w:sz w:val="22"/>
          <w:szCs w:val="22"/>
        </w:rPr>
        <w:t xml:space="preserve">93 North Road, Clayton, Manchester, M11 4EJ</w:t>
      </w:r>
    </w:p>
    <w:p>
      <w:pPr>
        <w:spacing w:after="40" w:before="120"/>
      </w:pPr>
      <w:r>
        <w:rPr>
          <w:rFonts w:ascii="Arial" w:cs="Arial" w:eastAsia="Arial" w:hAnsi="Arial"/>
          <w:b/>
          <w:bCs/>
          <w:color w:val="1B7A8A"/>
          <w:sz w:val="22"/>
          <w:szCs w:val="22"/>
        </w:rPr>
        <w:t xml:space="preserve">Partington Central Academy</w:t>
      </w:r>
    </w:p>
    <w:p>
      <w:pPr>
        <w:spacing w:after="120" w:before="80"/>
      </w:pPr>
      <w:r>
        <w:rPr>
          <w:rFonts w:ascii="Arial" w:cs="Arial" w:eastAsia="Arial" w:hAnsi="Arial"/>
          <w:color w:val="333333"/>
          <w:sz w:val="22"/>
          <w:szCs w:val="22"/>
        </w:rPr>
        <w:t xml:space="preserve">Central Road, Partington, Trafford, M31 4FL</w:t>
      </w:r>
    </w:p>
    <w:p>
      <w:pPr>
        <w:spacing w:after="40" w:before="120"/>
      </w:pPr>
      <w:r>
        <w:rPr>
          <w:rFonts w:ascii="Arial" w:cs="Arial" w:eastAsia="Arial" w:hAnsi="Arial"/>
          <w:b/>
          <w:bCs/>
          <w:color w:val="1B7A8A"/>
          <w:sz w:val="22"/>
          <w:szCs w:val="22"/>
        </w:rPr>
        <w:t xml:space="preserve">The Link Centre, Gorton</w:t>
      </w:r>
    </w:p>
    <w:p>
      <w:pPr>
        <w:spacing w:after="120" w:before="80"/>
      </w:pPr>
      <w:r>
        <w:rPr>
          <w:rFonts w:ascii="Arial" w:cs="Arial" w:eastAsia="Arial" w:hAnsi="Arial"/>
          <w:color w:val="333333"/>
          <w:sz w:val="22"/>
          <w:szCs w:val="22"/>
        </w:rPr>
        <w:t xml:space="preserve">Gorton, Manchester, M18</w:t>
      </w:r>
    </w:p>
    <w:p>
      <w:pPr>
        <w:spacing w:after="40" w:before="120"/>
      </w:pPr>
      <w:r>
        <w:rPr>
          <w:rFonts w:ascii="Arial" w:cs="Arial" w:eastAsia="Arial" w:hAnsi="Arial"/>
          <w:b/>
          <w:bCs/>
          <w:color w:val="1B7A8A"/>
          <w:sz w:val="22"/>
          <w:szCs w:val="22"/>
        </w:rPr>
        <w:t xml:space="preserve">Unbound, Victoria Park</w:t>
      </w:r>
    </w:p>
    <w:p>
      <w:pPr>
        <w:spacing w:after="120" w:before="80"/>
      </w:pPr>
      <w:r>
        <w:rPr>
          <w:rFonts w:ascii="Arial" w:cs="Arial" w:eastAsia="Arial" w:hAnsi="Arial"/>
          <w:color w:val="333333"/>
          <w:sz w:val="22"/>
          <w:szCs w:val="22"/>
        </w:rPr>
        <w:t xml:space="preserve">Victoria Park, Edge Lane, Stretford, Manchester, M32 8PT</w:t>
      </w:r>
    </w:p>
    <w:p>
      <w:pPr>
        <w:spacing w:after="40" w:before="120"/>
      </w:pPr>
      <w:r>
        <w:rPr>
          <w:rFonts w:ascii="Arial" w:cs="Arial" w:eastAsia="Arial" w:hAnsi="Arial"/>
          <w:b/>
          <w:bCs/>
          <w:color w:val="1B7A8A"/>
          <w:sz w:val="22"/>
          <w:szCs w:val="22"/>
        </w:rPr>
        <w:t xml:space="preserve">We Are Survivors</w:t>
      </w:r>
    </w:p>
    <w:p>
      <w:pPr>
        <w:spacing w:after="120" w:before="80"/>
      </w:pPr>
      <w:r>
        <w:rPr>
          <w:rFonts w:ascii="Arial" w:cs="Arial" w:eastAsia="Arial" w:hAnsi="Arial"/>
          <w:color w:val="333333"/>
          <w:sz w:val="22"/>
          <w:szCs w:val="22"/>
        </w:rPr>
        <w:t xml:space="preserve">49 Piccadilly, Manchester City Centre, Manchester, M1 2AP</w:t>
      </w:r>
    </w:p>
    <w:p>
      <w:pPr>
        <w:spacing w:after="80" w:before="80"/>
      </w:pPr>
      <w:r>
        <w:t xml:space="preserve"/>
      </w:r>
    </w:p>
    <w:p>
      <w:pPr>
        <w:spacing w:after="120" w:before="80"/>
      </w:pPr>
      <w:r>
        <w:rPr>
          <w:rFonts w:ascii="Arial" w:cs="Arial" w:eastAsia="Arial" w:hAnsi="Arial"/>
          <w:color w:val="333333"/>
          <w:sz w:val="22"/>
          <w:szCs w:val="22"/>
        </w:rPr>
        <w:t xml:space="preserve">This breadth of venue reach ensured that the programme connected with participants across a wide geographical footprint, including postcodes spanning M3, M5, M7, M8, M9, M11, M12, M14, M16, M18, M19, M20, M21, M22, M23, M25, M31, M32, M33, M40, M41, M44, M45, M50, M51, BL7, OL4, OL5, WA4, WA7, WA11, WA14, and SK15.</w:t>
      </w:r>
    </w:p>
    <w:p>
      <w:pPr>
        <w:pStyle w:val="Heading2"/>
        <w:spacing w:after="160" w:before="300"/>
      </w:pPr>
      <w:r>
        <w:rPr>
          <w:rFonts w:ascii="Arial" w:cs="Arial" w:eastAsia="Arial" w:hAnsi="Arial"/>
          <w:b/>
          <w:bCs/>
          <w:color w:val="1B7A8A"/>
          <w:sz w:val="26"/>
          <w:szCs w:val="26"/>
        </w:rPr>
        <w:t xml:space="preserve">2.2 Workshops Delivered</w:t>
      </w:r>
    </w:p>
    <w:p>
      <w:pPr>
        <w:spacing w:after="120" w:before="80"/>
      </w:pPr>
      <w:r>
        <w:rPr>
          <w:rFonts w:ascii="Arial" w:cs="Arial" w:eastAsia="Arial" w:hAnsi="Arial"/>
          <w:color w:val="333333"/>
          <w:sz w:val="22"/>
          <w:szCs w:val="22"/>
        </w:rPr>
        <w:t xml:space="preserve">Eight distinct wellbeing workshop topics were delivered across the programme, each designed to address a specific dimension of health and wellbeing. The workshops delivered were as follows.</w:t>
      </w:r>
    </w:p>
    <w:p>
      <w:pPr>
        <w:pStyle w:val="ListParagraph"/>
        <w:numPr>
          <w:ilvl w:val="0"/>
          <w:numId w:val="2"/>
        </w:numPr>
        <w:spacing w:after="60" w:before="60"/>
      </w:pPr>
      <w:r>
        <w:rPr>
          <w:rFonts w:ascii="Arial" w:cs="Arial" w:eastAsia="Arial" w:hAnsi="Arial"/>
          <w:color w:val="333333"/>
          <w:sz w:val="22"/>
          <w:szCs w:val="22"/>
        </w:rPr>
        <w:t xml:space="preserve">5 Ways to Wellbeing: delivered across multiple venues including Back on Track, Gorse Hill Studios, Great Places, Manchester Settlement, Unbound, and We Are Survivors.</w:t>
      </w:r>
    </w:p>
    <w:p>
      <w:pPr>
        <w:pStyle w:val="ListParagraph"/>
        <w:numPr>
          <w:ilvl w:val="0"/>
          <w:numId w:val="2"/>
        </w:numPr>
        <w:spacing w:after="60" w:before="60"/>
      </w:pPr>
      <w:r>
        <w:rPr>
          <w:rFonts w:ascii="Arial" w:cs="Arial" w:eastAsia="Arial" w:hAnsi="Arial"/>
          <w:color w:val="333333"/>
          <w:sz w:val="22"/>
          <w:szCs w:val="22"/>
        </w:rPr>
        <w:t xml:space="preserve">Confidence in Communication: delivered at Clayton Sure Start Centre, Manchester Settlement, and The Grange Resource Centre.</w:t>
      </w:r>
    </w:p>
    <w:p>
      <w:pPr>
        <w:pStyle w:val="ListParagraph"/>
        <w:numPr>
          <w:ilvl w:val="0"/>
          <w:numId w:val="2"/>
        </w:numPr>
        <w:spacing w:after="60" w:before="60"/>
      </w:pPr>
      <w:r>
        <w:rPr>
          <w:rFonts w:ascii="Arial" w:cs="Arial" w:eastAsia="Arial" w:hAnsi="Arial"/>
          <w:color w:val="333333"/>
          <w:sz w:val="22"/>
          <w:szCs w:val="22"/>
        </w:rPr>
        <w:t xml:space="preserve">Healthy Eating: delivered at Back on Track, Cee Bee Gold, Clayton Sure Start Centre, Gorton Central, Manchester Settlement, and The Grange Resource Centre.</w:t>
      </w:r>
    </w:p>
    <w:p>
      <w:pPr>
        <w:pStyle w:val="ListParagraph"/>
        <w:numPr>
          <w:ilvl w:val="0"/>
          <w:numId w:val="2"/>
        </w:numPr>
        <w:spacing w:after="60" w:before="60"/>
      </w:pPr>
      <w:r>
        <w:rPr>
          <w:rFonts w:ascii="Arial" w:cs="Arial" w:eastAsia="Arial" w:hAnsi="Arial"/>
          <w:color w:val="333333"/>
          <w:sz w:val="22"/>
          <w:szCs w:val="22"/>
        </w:rPr>
        <w:t xml:space="preserve">Mindfulness: delivered at Cee Bee Gold, Clayton Sure Start Centre, No. 93 Clayton, and The Grange Resource Centre.</w:t>
      </w:r>
    </w:p>
    <w:p>
      <w:pPr>
        <w:pStyle w:val="ListParagraph"/>
        <w:numPr>
          <w:ilvl w:val="0"/>
          <w:numId w:val="2"/>
        </w:numPr>
        <w:spacing w:after="60" w:before="60"/>
      </w:pPr>
      <w:r>
        <w:rPr>
          <w:rFonts w:ascii="Arial" w:cs="Arial" w:eastAsia="Arial" w:hAnsi="Arial"/>
          <w:color w:val="333333"/>
          <w:sz w:val="22"/>
          <w:szCs w:val="22"/>
        </w:rPr>
        <w:t xml:space="preserve">Move for Your Mood: delivered at Back on Track and Manchester Settlement.</w:t>
      </w:r>
    </w:p>
    <w:p>
      <w:pPr>
        <w:pStyle w:val="ListParagraph"/>
        <w:numPr>
          <w:ilvl w:val="0"/>
          <w:numId w:val="2"/>
        </w:numPr>
        <w:spacing w:after="60" w:before="60"/>
      </w:pPr>
      <w:r>
        <w:rPr>
          <w:rFonts w:ascii="Arial" w:cs="Arial" w:eastAsia="Arial" w:hAnsi="Arial"/>
          <w:color w:val="333333"/>
          <w:sz w:val="22"/>
          <w:szCs w:val="22"/>
        </w:rPr>
        <w:t xml:space="preserve">Sleep: delivered at Back on Track, Manchester Settlement, No. 93 Clayton, Partington Central Academy, The Grange Resource Centre, and The Link Centre Gorton.</w:t>
      </w:r>
    </w:p>
    <w:p>
      <w:pPr>
        <w:pStyle w:val="ListParagraph"/>
        <w:numPr>
          <w:ilvl w:val="0"/>
          <w:numId w:val="2"/>
        </w:numPr>
        <w:spacing w:after="60" w:before="60"/>
      </w:pPr>
      <w:r>
        <w:rPr>
          <w:rFonts w:ascii="Arial" w:cs="Arial" w:eastAsia="Arial" w:hAnsi="Arial"/>
          <w:color w:val="333333"/>
          <w:sz w:val="22"/>
          <w:szCs w:val="22"/>
        </w:rPr>
        <w:t xml:space="preserve">Smoking Cessation: delivered at Clayton Sure Start Centre.</w:t>
      </w:r>
    </w:p>
    <w:p>
      <w:pPr>
        <w:pStyle w:val="ListParagraph"/>
        <w:numPr>
          <w:ilvl w:val="0"/>
          <w:numId w:val="2"/>
        </w:numPr>
        <w:spacing w:after="60" w:before="60"/>
      </w:pPr>
      <w:r>
        <w:rPr>
          <w:rFonts w:ascii="Arial" w:cs="Arial" w:eastAsia="Arial" w:hAnsi="Arial"/>
          <w:color w:val="333333"/>
          <w:sz w:val="22"/>
          <w:szCs w:val="22"/>
        </w:rPr>
        <w:t xml:space="preserve">Stress and Relaxation: delivered at Ida Kinsey, L+Q Thomas Street, Manchester Settlement, No. 93 Clayton, Partington Central Academy, The Grange Resource Centre, and Unbound.</w:t>
      </w:r>
    </w:p>
    <w:p>
      <w:pPr>
        <w:pStyle w:val="Heading2"/>
        <w:spacing w:after="160" w:before="300"/>
      </w:pPr>
      <w:r>
        <w:rPr>
          <w:rFonts w:ascii="Arial" w:cs="Arial" w:eastAsia="Arial" w:hAnsi="Arial"/>
          <w:b/>
          <w:bCs/>
          <w:color w:val="1B7A8A"/>
          <w:sz w:val="26"/>
          <w:szCs w:val="26"/>
        </w:rPr>
        <w:t xml:space="preserve">2.3 Participant Profile</w:t>
      </w:r>
    </w:p>
    <w:p>
      <w:pPr>
        <w:spacing w:after="120" w:before="80"/>
      </w:pPr>
      <w:r>
        <w:rPr>
          <w:rFonts w:ascii="Arial" w:cs="Arial" w:eastAsia="Arial" w:hAnsi="Arial"/>
          <w:color w:val="333333"/>
          <w:sz w:val="22"/>
          <w:szCs w:val="22"/>
        </w:rPr>
        <w:t xml:space="preserve">The programme engaged 223 registered participants across the full delivery period. The participant demographic was diverse in age, ethnicity, socioeconomic background, and geographic origin.</w:t>
      </w:r>
    </w:p>
    <w:p>
      <w:pPr>
        <w:spacing w:after="120" w:before="80"/>
      </w:pPr>
      <w:r>
        <w:rPr>
          <w:rFonts w:ascii="Arial" w:cs="Arial" w:eastAsia="Arial" w:hAnsi="Arial"/>
          <w:color w:val="333333"/>
          <w:sz w:val="22"/>
          <w:szCs w:val="22"/>
        </w:rPr>
        <w:t xml:space="preserve">Ages ranged from 19 to 78 across the full programme, with representation across young adults, working-age adults, and older participants. Ethnicities represented included White British, White Irish, White Scottish, White European, Italian and British Italian, White Dual National, Black British Caribbean, Black African, Afro Caribbean, Black, British Asian, British Pakistani, Armenian British, Mixed Heritage, Mixed Black British, Mixed White and Asian, Iranian, Sri Lankan, Eritrean, and Afghan, among others. The cultural and linguistic diversity of participants is particularly notable at venues including Cee Bee Gold and The Link Centre Gorton, where facilitators adapted delivery to support participants for whom English is a second language.</w:t>
      </w:r>
    </w:p>
    <w:p>
      <w:pPr>
        <w:spacing w:after="120" w:before="80"/>
      </w:pPr>
      <w:r>
        <w:rPr>
          <w:rFonts w:ascii="Arial" w:cs="Arial" w:eastAsia="Arial" w:hAnsi="Arial"/>
          <w:color w:val="333333"/>
          <w:sz w:val="22"/>
          <w:szCs w:val="22"/>
        </w:rPr>
        <w:t xml:space="preserve">A meaningful proportion of participants were in receipt of welfare benefits at the point of attending, including Universal Credit, Personal Independence Payment, Employment and Support Allowance, Disability Living Allowance, Job Seekers Allowance, and Attendance Allowance. This confirms that the programme is successfully reaching individuals facing economic disadvantage and health-related barriers alongside those attending from a position of relative stability.</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4. Wellbeing Outcomes</w:t>
      </w:r>
    </w:p>
    <w:p>
      <w:pPr>
        <w:pStyle w:val="Heading2"/>
        <w:spacing w:after="160" w:before="300"/>
      </w:pPr>
      <w:r>
        <w:rPr>
          <w:rFonts w:ascii="Arial" w:cs="Arial" w:eastAsia="Arial" w:hAnsi="Arial"/>
          <w:b/>
          <w:bCs/>
          <w:color w:val="1B7A8A"/>
          <w:sz w:val="26"/>
          <w:szCs w:val="26"/>
        </w:rPr>
        <w:t xml:space="preserve">3.1 Pre and Post Wellbeing Measurement</w:t>
      </w:r>
    </w:p>
    <w:p>
      <w:pPr>
        <w:spacing w:after="120" w:before="80"/>
      </w:pPr>
      <w:r>
        <w:rPr>
          <w:rFonts w:ascii="Arial" w:cs="Arial" w:eastAsia="Arial" w:hAnsi="Arial"/>
          <w:color w:val="333333"/>
          <w:sz w:val="22"/>
          <w:szCs w:val="22"/>
        </w:rPr>
        <w:t xml:space="preserve">Wellbeing was measured using the Short Warwick Edinburgh Mental Wellbeing Scale, which assesses seven indicators of positive mental wellbeing: feeling optimistic about the future, feeling useful, feeling relaxed, dealing with problems well, thinking clearly, feeling close to other people, and being able to make decisions. A loneliness measure questionnaire was also used at a number of venues to assess social connection and relationship satisfaction.</w:t>
      </w:r>
    </w:p>
    <w:p>
      <w:pPr>
        <w:spacing w:after="120" w:before="80"/>
      </w:pPr>
      <w:r>
        <w:rPr>
          <w:rFonts w:ascii="Arial" w:cs="Arial" w:eastAsia="Arial" w:hAnsi="Arial"/>
          <w:color w:val="333333"/>
          <w:sz w:val="22"/>
          <w:szCs w:val="22"/>
        </w:rPr>
        <w:t xml:space="preserve">Pre-questionnaires were completed by participants at venues where this data collection was in place, providing a baseline against which post-workshop scores could be compared. The most significant individual change recorded across the programme was at Manchester Settlement, where one participant scored 1 across every single Wemwebs indicator at pre-questionnaire stage, indicating very low baseline wellbeing. Following attendance at multiple workshops, the same participant's scores moved to consistent 4s across all measures, representing a substantial and meaningful positive shift.</w:t>
      </w:r>
    </w:p>
    <w:p>
      <w:pPr>
        <w:spacing w:after="120" w:before="80"/>
      </w:pPr>
      <w:r>
        <w:rPr>
          <w:rFonts w:ascii="Arial" w:cs="Arial" w:eastAsia="Arial" w:hAnsi="Arial"/>
          <w:color w:val="333333"/>
          <w:sz w:val="22"/>
          <w:szCs w:val="22"/>
        </w:rPr>
        <w:t xml:space="preserve">Across those venues where matched pre and post data was available, the overall pattern showed positive movement or stability across all wellbeing indicators. No participant showed deterioration across any indicator following workshop attendance. Group averages at the Short Warwick Edinburgh scale showed modest but consistent upward movement at post-workshop stage across venues including Gorse Hill Studios, L+Q Thomas Street, and Partington Central Academy.</w:t>
      </w:r>
    </w:p>
    <w:p>
      <w:pPr>
        <w:pStyle w:val="Heading2"/>
        <w:spacing w:after="160" w:before="300"/>
      </w:pPr>
      <w:r>
        <w:rPr>
          <w:rFonts w:ascii="Arial" w:cs="Arial" w:eastAsia="Arial" w:hAnsi="Arial"/>
          <w:b/>
          <w:bCs/>
          <w:color w:val="1B7A8A"/>
          <w:sz w:val="26"/>
          <w:szCs w:val="26"/>
        </w:rPr>
        <w:t xml:space="preserve">3.2 Post-Workshop Wellbeing Profile</w:t>
      </w:r>
    </w:p>
    <w:p>
      <w:pPr>
        <w:spacing w:after="120" w:before="80"/>
      </w:pPr>
      <w:r>
        <w:rPr>
          <w:rFonts w:ascii="Arial" w:cs="Arial" w:eastAsia="Arial" w:hAnsi="Arial"/>
          <w:color w:val="333333"/>
          <w:sz w:val="22"/>
          <w:szCs w:val="22"/>
        </w:rPr>
        <w:t xml:space="preserve">Across all post-workshop evaluation data gathered throughout the programme, the overall wellbeing profile of participants was positive. The majority of participants scored 3 or 4 out of 5 across most Wemwebs indicators at evaluation stage. The indicators attracting the highest consistent scores were feeling optimistic about the future, feeling useful, thinking clearly, and making decisions. The indicators showing most variation across the group were feeling relaxed and dealing with problems well, reflecting that these are areas of ongoing need for many participants and underscoring the relevance of workshop content addressing stress, sleep, and relaxation specifically.</w:t>
      </w:r>
    </w:p>
    <w:p>
      <w:pPr>
        <w:spacing w:after="120" w:before="80"/>
      </w:pPr>
      <w:r>
        <w:rPr>
          <w:rFonts w:ascii="Arial" w:cs="Arial" w:eastAsia="Arial" w:hAnsi="Arial"/>
          <w:color w:val="333333"/>
          <w:sz w:val="22"/>
          <w:szCs w:val="22"/>
        </w:rPr>
        <w:t xml:space="preserve">Social wellbeing scores were broadly positive across the programme as a whole. Participants at the Back on Track venue showed particularly strong social connection scores across all three sessions delivered there, which may reflect the venue's established community network. At venues serving more isolated or vulnerable populations, including No. 93 Clayton and Unbound, post-workshop loneliness scores showed meaningful improvement compared to pre-workshop baselines, with participants scoring higher on relationship satisfaction and having people to ask for help following attendance. This suggests the group environment of the workshops itself provided a meaningful social benefit beyond the content delivered.</w:t>
      </w:r>
    </w:p>
    <w:p>
      <w:pPr>
        <w:pStyle w:val="Heading2"/>
        <w:spacing w:after="160" w:before="300"/>
      </w:pPr>
      <w:r>
        <w:rPr>
          <w:rFonts w:ascii="Arial" w:cs="Arial" w:eastAsia="Arial" w:hAnsi="Arial"/>
          <w:b/>
          <w:bCs/>
          <w:color w:val="1B7A8A"/>
          <w:sz w:val="26"/>
          <w:szCs w:val="26"/>
        </w:rPr>
        <w:t xml:space="preserve">3.3 Learning Outcomes</w:t>
      </w:r>
    </w:p>
    <w:p>
      <w:pPr>
        <w:spacing w:after="120" w:before="80"/>
      </w:pPr>
      <w:r>
        <w:rPr>
          <w:rFonts w:ascii="Arial" w:cs="Arial" w:eastAsia="Arial" w:hAnsi="Arial"/>
          <w:color w:val="333333"/>
          <w:sz w:val="22"/>
          <w:szCs w:val="22"/>
        </w:rPr>
        <w:t xml:space="preserve">Across all workshops and all venues, participants consistently reported gaining greater knowledge and understanding of their own wellbeing. The majority agreed or strongly agreed across all three standard outcome statements: that they had gained greater knowledge and understanding of their wellbeing, that they felt more able to make changes, and that they were more confident in having a conversation with someone else about their wellbeing. This pattern was consistent regardless of venue, workshop type, or participant demographic.</w:t>
      </w:r>
    </w:p>
    <w:p>
      <w:pPr>
        <w:spacing w:after="120" w:before="80"/>
      </w:pPr>
      <w:r>
        <w:rPr>
          <w:rFonts w:ascii="Arial" w:cs="Arial" w:eastAsia="Arial" w:hAnsi="Arial"/>
          <w:color w:val="333333"/>
          <w:sz w:val="22"/>
          <w:szCs w:val="22"/>
        </w:rPr>
        <w:t xml:space="preserve">The specificity and quality of learning reported by participants across different workshop topics is noteworthy. Healthy Eating participants described understanding the Eatwell plate, the role of ultra-processed food in diet, reading food labels, the link between food and mood, and practical shopping strategies. Sleep participants described understanding sleep hygiene, the impact of screen use in bed, foods that support sleep quality, sleep cycle stages, and caffeine timing. Stress and Relaxation participants described understanding the physiological effects of stress, the role of cortisol, the bucket analogy for stress accumulation, breathing and grounding techniques, and the importance of self-care. Mindfulness participants described present-moment awareness, the mind-body connection, body scan techniques, and emotional regulation. Five Ways to Wellbeing participants described understanding the framework and how its five elements interconnect, with many noting that they were already engaging with some elements without having previously named them as wellbeing practices. Confidence in Communication participants described the difference between passive, aggressive, and assertive communication, and the importance of putting their own needs forward in a healthy way.</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5. Behaviour Change and Goal Setting</w:t>
      </w:r>
    </w:p>
    <w:p>
      <w:pPr>
        <w:spacing w:after="120" w:before="80"/>
      </w:pPr>
      <w:r>
        <w:rPr>
          <w:rFonts w:ascii="Arial" w:cs="Arial" w:eastAsia="Arial" w:hAnsi="Arial"/>
          <w:color w:val="333333"/>
          <w:sz w:val="22"/>
          <w:szCs w:val="22"/>
        </w:rPr>
        <w:t xml:space="preserve">One of the strongest indicators of workshop impact across the programme is the quality and specificity of behaviour change intentions recorded in participant evaluation forms. Across all venues and all workshop types, the majority of participants identified clear and personally relevant changes they intended to make as a direct result of attending.</w:t>
      </w:r>
    </w:p>
    <w:p>
      <w:pPr>
        <w:spacing w:after="120" w:before="80"/>
      </w:pPr>
      <w:r>
        <w:rPr>
          <w:rFonts w:ascii="Arial" w:cs="Arial" w:eastAsia="Arial" w:hAnsi="Arial"/>
          <w:color w:val="333333"/>
          <w:sz w:val="22"/>
          <w:szCs w:val="22"/>
        </w:rPr>
        <w:t xml:space="preserve">Intended changes across the programme included eating more healthily and reducing ultra-processed foods, shopping more sensibly, reading food labels, meal planning, trying different sleep patterns, keeping a sleep diary, reducing phone use in bed, being more active during the day, exercising more and building exercise into daily routines, setting a quit smoking goal, practising breathing exercises daily, practising relaxation and meditation techniques, breaking problems down rather than catastrophising, being less self-critical, being more mindful and present, being more assertive and using positive language, associating with more positive people, putting their own wellbeing first, and valuing themselves more.</w:t>
      </w:r>
    </w:p>
    <w:p>
      <w:pPr>
        <w:spacing w:after="120" w:before="80"/>
      </w:pPr>
      <w:r>
        <w:rPr>
          <w:rFonts w:ascii="Arial" w:cs="Arial" w:eastAsia="Arial" w:hAnsi="Arial"/>
          <w:color w:val="333333"/>
          <w:sz w:val="22"/>
          <w:szCs w:val="22"/>
        </w:rPr>
        <w:t xml:space="preserve">Several participants set specific and measurable goals including committing to a 30-day sleep diary challenge, establishing a structured morning routine, monitoring caffeine timing, practising mindfulness daily, and beginning a specific exercise programme. This level of specificity across a community wellbeing programme is a strong indicator of genuine personal investment in the learning and a meaningful likelihood of sustained behaviour change beyond the session itself.</w:t>
      </w:r>
    </w:p>
    <w:p>
      <w:pPr>
        <w:spacing w:after="120" w:before="80"/>
      </w:pPr>
      <w:r>
        <w:rPr>
          <w:rFonts w:ascii="Arial" w:cs="Arial" w:eastAsia="Arial" w:hAnsi="Arial"/>
          <w:color w:val="333333"/>
          <w:sz w:val="22"/>
          <w:szCs w:val="22"/>
        </w:rPr>
        <w:t xml:space="preserve">A particularly notable theme across multiple venue summaries was the emergence of self-compassion and self-worth as intended behaviour change. This was especially prominent in Five Ways to Wellbeing and Confidence in Communication sessions, where participants described intentions to be kinder to themselves, to prioritise their own wellbeing alongside that of those they care for or support professionally, and to recognise their own needs as valid and worth addressing.</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6. Course Quality and Participant Satisfaction</w:t>
      </w:r>
    </w:p>
    <w:p>
      <w:pPr>
        <w:pStyle w:val="Heading2"/>
        <w:spacing w:after="160" w:before="300"/>
      </w:pPr>
      <w:r>
        <w:rPr>
          <w:rFonts w:ascii="Arial" w:cs="Arial" w:eastAsia="Arial" w:hAnsi="Arial"/>
          <w:b/>
          <w:bCs/>
          <w:color w:val="1B7A8A"/>
          <w:sz w:val="26"/>
          <w:szCs w:val="26"/>
        </w:rPr>
        <w:t xml:space="preserve">5.1 Course Quality Ratings</w:t>
      </w:r>
    </w:p>
    <w:p>
      <w:pPr>
        <w:spacing w:after="120" w:before="80"/>
      </w:pPr>
      <w:r>
        <w:rPr>
          <w:rFonts w:ascii="Arial" w:cs="Arial" w:eastAsia="Arial" w:hAnsi="Arial"/>
          <w:color w:val="333333"/>
          <w:sz w:val="22"/>
          <w:szCs w:val="22"/>
        </w:rPr>
        <w:t xml:space="preserve">Course satisfaction was uniformly high across every workshop type and every venue. Participants consistently agreed or strongly agreed across all quality indicators: that course information fully met their needs, that learning outcomes were achieved, that the workshop was relevant to their learning needs, that the trainer was well organised and prepared, that the trainer's style and methods encouraged learning, that resources and handouts were clear and useful, and that they would be able to apply what they had learned in the future.</w:t>
      </w:r>
    </w:p>
    <w:p>
      <w:pPr>
        <w:spacing w:after="120" w:before="80"/>
      </w:pPr>
      <w:r>
        <w:rPr>
          <w:rFonts w:ascii="Arial" w:cs="Arial" w:eastAsia="Arial" w:hAnsi="Arial"/>
          <w:color w:val="333333"/>
          <w:sz w:val="22"/>
          <w:szCs w:val="22"/>
        </w:rPr>
        <w:t xml:space="preserve">No participant disagreed with any course quality statement across the programme as a whole. The only exceptions were a small number of individual forms where tick-box responses appeared to be completed in error relative to strongly positive written feedback, and one participant at L+Q Thomas Street whose responses indicated the content was not sufficiently specific to their professional context. These individual exceptions do not alter the overwhelmingly positive picture of course quality across the programme.</w:t>
      </w:r>
    </w:p>
    <w:p>
      <w:pPr>
        <w:spacing w:after="120" w:before="80"/>
      </w:pPr>
      <w:r>
        <w:rPr>
          <w:rFonts w:ascii="Arial" w:cs="Arial" w:eastAsia="Arial" w:hAnsi="Arial"/>
          <w:color w:val="333333"/>
          <w:sz w:val="22"/>
          <w:szCs w:val="22"/>
        </w:rPr>
        <w:t xml:space="preserve">Trainer quality attracted particularly consistent praise across venues. Participants described facilitators as knowledgeable, well prepared, engaging, accessible, non-judgemental, and skilled at making people feel heard. The quality of facilitation was identified as a key factor in the positive learning experience across multiple venue summaries.</w:t>
      </w:r>
    </w:p>
    <w:p>
      <w:pPr>
        <w:pStyle w:val="Heading2"/>
        <w:spacing w:after="160" w:before="300"/>
      </w:pPr>
      <w:r>
        <w:rPr>
          <w:rFonts w:ascii="Arial" w:cs="Arial" w:eastAsia="Arial" w:hAnsi="Arial"/>
          <w:b/>
          <w:bCs/>
          <w:color w:val="1B7A8A"/>
          <w:sz w:val="26"/>
          <w:szCs w:val="26"/>
        </w:rPr>
        <w:t xml:space="preserve">5.2 What Participants Enjoyed</w:t>
      </w:r>
    </w:p>
    <w:p>
      <w:pPr>
        <w:spacing w:after="120" w:before="80"/>
      </w:pPr>
      <w:r>
        <w:rPr>
          <w:rFonts w:ascii="Arial" w:cs="Arial" w:eastAsia="Arial" w:hAnsi="Arial"/>
          <w:color w:val="333333"/>
          <w:sz w:val="22"/>
          <w:szCs w:val="22"/>
        </w:rPr>
        <w:t xml:space="preserve">The most consistent themes across all workshops and all venues regarding what participants enjoyed most were the informal and relaxed delivery style, the opportunity to share views and have group discussions, the clarity and accessibility of content, and the practical and personally relevant nature of the learning. Group discussion and peer learning featured prominently across Five Ways to Wellbeing, Sleep, Confidence in Communication, and Stress and Relaxation sessions. Visual materials and video content were highlighted positively at several venues. The non-judgemental atmosphere was explicitly mentioned across more than one setting.</w:t>
      </w:r>
    </w:p>
    <w:p>
      <w:pPr>
        <w:spacing w:after="120" w:before="80"/>
      </w:pPr>
      <w:r>
        <w:rPr>
          <w:rFonts w:ascii="Arial" w:cs="Arial" w:eastAsia="Arial" w:hAnsi="Arial"/>
          <w:color w:val="333333"/>
          <w:sz w:val="22"/>
          <w:szCs w:val="22"/>
        </w:rPr>
        <w:t xml:space="preserve">The social dimension of attendance was significant across the programme. One participant noted that simply getting out of the house was something they valued from attending. Two participants at different venues independently used the phrase knowledge is power when describing why they would recommend the workshops. One participant described the trainer as someone who explains things and makes you feel heard. Another said the workshop had opened them up. These responses speak to an experience that went beyond information delivery to genuine personal connection and empowerment.</w:t>
      </w:r>
    </w:p>
    <w:p>
      <w:pPr>
        <w:pStyle w:val="Heading2"/>
        <w:spacing w:after="160" w:before="300"/>
      </w:pPr>
      <w:r>
        <w:rPr>
          <w:rFonts w:ascii="Arial" w:cs="Arial" w:eastAsia="Arial" w:hAnsi="Arial"/>
          <w:b/>
          <w:bCs/>
          <w:color w:val="1B7A8A"/>
          <w:sz w:val="26"/>
          <w:szCs w:val="26"/>
        </w:rPr>
        <w:t xml:space="preserve">5.3 Constructive Feedback</w:t>
      </w:r>
    </w:p>
    <w:p>
      <w:pPr>
        <w:spacing w:after="120" w:before="80"/>
      </w:pPr>
      <w:r>
        <w:rPr>
          <w:rFonts w:ascii="Arial" w:cs="Arial" w:eastAsia="Arial" w:hAnsi="Arial"/>
          <w:color w:val="333333"/>
          <w:sz w:val="22"/>
          <w:szCs w:val="22"/>
        </w:rPr>
        <w:t xml:space="preserve">The constructive feedback gathered across the whole programme was minimal in volume and consistently focused on appetite for more rather than dissatisfaction with what was delivered. The criticisms raised were as follows: one participant felt a session was slightly rushed, one felt their workshop was too short, one requested that video clips be paused after each one in a Confidence in Communication session, one requested more focus on meal planning in a Healthy Eating session, one noted that some session paperwork felt repetitive, one requested more practical hands-on activities in a Stress and Relaxation session, one requested more time for the body scan in a Mindfulness session, and one suggested the Healthy Eating programme be complemented in future by practical cookery and supermarket visits. Across 348 workshop attendances, this volume of constructive feedback is exceptionally low and reflects a programme that is consistently meeting participant needs.</w:t>
      </w:r>
    </w:p>
    <w:p>
      <w:pPr>
        <w:pStyle w:val="Heading2"/>
        <w:spacing w:after="160" w:before="300"/>
      </w:pPr>
      <w:r>
        <w:rPr>
          <w:rFonts w:ascii="Arial" w:cs="Arial" w:eastAsia="Arial" w:hAnsi="Arial"/>
          <w:b/>
          <w:bCs/>
          <w:color w:val="1B7A8A"/>
          <w:sz w:val="26"/>
          <w:szCs w:val="26"/>
        </w:rPr>
        <w:t xml:space="preserve">5.4 Likelihood to Recommend</w:t>
      </w:r>
    </w:p>
    <w:p>
      <w:pPr>
        <w:spacing w:after="120" w:before="80"/>
      </w:pPr>
      <w:r>
        <w:rPr>
          <w:rFonts w:ascii="Arial" w:cs="Arial" w:eastAsia="Arial" w:hAnsi="Arial"/>
          <w:color w:val="333333"/>
          <w:sz w:val="22"/>
          <w:szCs w:val="22"/>
        </w:rPr>
        <w:t xml:space="preserve">Every participant across every workshop and every venue who responded to the recommendation question said they would recommend the sessions to friends and family. Responses ranged from likely and very likely through to extremely likely, yes, 100%, and 10 out of 10. No participant said they would not recommend the workshop.</w:t>
      </w:r>
    </w:p>
    <w:p>
      <w:pPr>
        <w:spacing w:after="120" w:before="80"/>
      </w:pPr>
      <w:r>
        <w:rPr>
          <w:rFonts w:ascii="Arial" w:cs="Arial" w:eastAsia="Arial" w:hAnsi="Arial"/>
          <w:color w:val="333333"/>
          <w:sz w:val="22"/>
          <w:szCs w:val="22"/>
        </w:rPr>
        <w:t xml:space="preserve">Reasons given for recommending included that it benefits people regardless of what is going on in their lives, that it is easy to understand, that nobody judges you, that it is well presented, that it is informative and enjoyable, that it is relaxed yet informative, that it is delivered in a way anyone can engage with, that it makes you more positive, that knowledge is power, and that everyone could benefit. One participant at Back on Track specifically noted they would refer others at the venue, indicating strong word of mouth potential. One participant described it as something everyone needs.</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7. Equity, Diversity and Inclusion</w:t>
      </w:r>
    </w:p>
    <w:p>
      <w:pPr>
        <w:spacing w:after="120" w:before="80"/>
      </w:pPr>
      <w:r>
        <w:rPr>
          <w:rFonts w:ascii="Arial" w:cs="Arial" w:eastAsia="Arial" w:hAnsi="Arial"/>
          <w:color w:val="333333"/>
          <w:sz w:val="22"/>
          <w:szCs w:val="22"/>
        </w:rPr>
        <w:t xml:space="preserve">The programme demonstrated a strong commitment to equity, diversity, and inclusion in its reach and delivery throughout the grant period. Participants spanned a wide age range, from 19 to 78, ensuring that the programme was not age-restricted in either its targeting or its appeal. The ethnic and cultural diversity of participants across the programme is significant, particularly at venues serving African and Nigerian heritage communities, South Asian communities, Eastern European communities, and Middle Eastern communities.</w:t>
      </w:r>
    </w:p>
    <w:p>
      <w:pPr>
        <w:spacing w:after="120" w:before="80"/>
      </w:pPr>
      <w:r>
        <w:rPr>
          <w:rFonts w:ascii="Arial" w:cs="Arial" w:eastAsia="Arial" w:hAnsi="Arial"/>
          <w:color w:val="333333"/>
          <w:sz w:val="22"/>
          <w:szCs w:val="22"/>
        </w:rPr>
        <w:t xml:space="preserve">At venues including Cee Bee Gold and The Link Centre Gorton, facilitators adapted delivery to support participants for whom English is a second language, reflecting a genuine commitment to accessibility beyond the language of the materials. The programme reached individuals facing financial disadvantage through benefit receipt, housing insecurity, and other barriers to accessing mainstream health and wellbeing provision.</w:t>
      </w:r>
    </w:p>
    <w:p>
      <w:pPr>
        <w:spacing w:after="120" w:before="80"/>
      </w:pPr>
      <w:r>
        <w:rPr>
          <w:rFonts w:ascii="Arial" w:cs="Arial" w:eastAsia="Arial" w:hAnsi="Arial"/>
          <w:color w:val="333333"/>
          <w:sz w:val="22"/>
          <w:szCs w:val="22"/>
        </w:rPr>
        <w:t xml:space="preserve">The range of venues used across the programme was itself a deliberate equity strategy. By delivering in community centres, housing association settings, schools, criminal justice support organisations, domestic abuse survivor organisations, and creative industry spaces, BMS Wellbeing CIC ensured that the programme met people where they are rather than requiring them to access a single centralised provision point.</w:t>
      </w:r>
    </w:p>
    <w:p>
      <w:pPr>
        <w:spacing w:after="120" w:before="80"/>
      </w:pPr>
      <w:r>
        <w:rPr>
          <w:rFonts w:ascii="Arial" w:cs="Arial" w:eastAsia="Arial" w:hAnsi="Arial"/>
          <w:color w:val="333333"/>
          <w:sz w:val="22"/>
          <w:szCs w:val="22"/>
        </w:rPr>
        <w:t xml:space="preserve">All participants who indicated a preference consented to their feedback being quoted anonymously in future publications, reflecting a high level of trust in the organisation and the process.</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8. Repeat Attendance and Programme Cohesion</w:t>
      </w:r>
    </w:p>
    <w:p>
      <w:pPr>
        <w:spacing w:after="120" w:before="80"/>
      </w:pPr>
      <w:r>
        <w:rPr>
          <w:rFonts w:ascii="Arial" w:cs="Arial" w:eastAsia="Arial" w:hAnsi="Arial"/>
          <w:color w:val="333333"/>
          <w:sz w:val="22"/>
          <w:szCs w:val="22"/>
        </w:rPr>
        <w:t xml:space="preserve">One of the most significant indicators of programme quality across the delivery period was the level of repeat attendance recorded at multiple venues. At Back on Track, a core group of participants attended all three evaluated sessions across the month of March 2026, and others returned for two out of three. At Manchester Settlement, a recognisable cohort attended multiple workshops across the programme period. At No. 93 Clayton, the three workshops delivered across October to December 2025 drew from a consistent participant base. This pattern of return attendance is not incidental. People chose to come back. In a voluntary community health context, sustained repeat engagement is one of the most meaningful indicators that a programme is delivering genuine value.</w:t>
      </w:r>
    </w:p>
    <w:p>
      <w:pPr>
        <w:spacing w:after="120" w:before="80"/>
      </w:pPr>
      <w:r>
        <w:rPr>
          <w:rFonts w:ascii="Arial" w:cs="Arial" w:eastAsia="Arial" w:hAnsi="Arial"/>
          <w:color w:val="333333"/>
          <w:sz w:val="22"/>
          <w:szCs w:val="22"/>
        </w:rPr>
        <w:t xml:space="preserve">The multi-topic nature of the programme also created a coherent and mutually reinforcing wellbeing offer. Participants who attended both Sleep and Stress and Relaxation sessions, for example, received learning that directly complemented and built upon each other. Participants who attended both Five Ways to Wellbeing and Confidence in Communication received a programme addressing both the broader framework for wellbeing and the specific interpersonal skills needed to enact it. This thematic coherence across the programme was a design strength that increased impact beyond what any single session could achieve in isolation.</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9. Key Quotes from Participants</w:t>
      </w:r>
    </w:p>
    <w:p>
      <w:pPr>
        <w:spacing w:after="120" w:before="80"/>
      </w:pPr>
      <w:r>
        <w:rPr>
          <w:rFonts w:ascii="Arial" w:cs="Arial" w:eastAsia="Arial" w:hAnsi="Arial"/>
          <w:color w:val="333333"/>
          <w:sz w:val="22"/>
          <w:szCs w:val="22"/>
        </w:rPr>
        <w:t xml:space="preserve">All quotes below are used with participant consent and have been anonymised in line with programme policy.</w:t>
      </w:r>
    </w:p>
    <w:p>
      <w:pPr>
        <w:spacing w:after="80" w:before="80"/>
      </w:pPr>
      <w:r>
        <w:t xml:space="preserve"/>
      </w:r>
    </w:p>
    <w:p>
      <w:pPr>
        <w:shd w:fill="E8F4F6" w:val="clear"/>
        <w:spacing w:after="120" w:before="120"/>
        <w:ind w:left="360" w:right="360"/>
      </w:pPr>
      <w:r>
        <w:rPr>
          <w:rFonts w:ascii="Arial" w:cs="Arial" w:eastAsia="Arial" w:hAnsi="Arial"/>
          <w:i/>
          <w:iCs/>
          <w:color w:val="333333"/>
          <w:sz w:val="22"/>
          <w:szCs w:val="22"/>
        </w:rPr>
        <w:t xml:space="preserve">Knowledge is power. (Two participants, independently, at different venues)</w:t>
      </w:r>
    </w:p>
    <w:p>
      <w:pPr>
        <w:shd w:fill="E8F4F6" w:val="clear"/>
        <w:spacing w:after="120" w:before="120"/>
        <w:ind w:left="360" w:right="360"/>
      </w:pPr>
      <w:r>
        <w:rPr>
          <w:rFonts w:ascii="Arial" w:cs="Arial" w:eastAsia="Arial" w:hAnsi="Arial"/>
          <w:i/>
          <w:iCs/>
          <w:color w:val="333333"/>
          <w:sz w:val="22"/>
          <w:szCs w:val="22"/>
        </w:rPr>
        <w:t xml:space="preserve">Nobody judges you. That matters.</w:t>
      </w:r>
    </w:p>
    <w:p>
      <w:pPr>
        <w:shd w:fill="E8F4F6" w:val="clear"/>
        <w:spacing w:after="120" w:before="120"/>
        <w:ind w:left="360" w:right="360"/>
      </w:pPr>
      <w:r>
        <w:rPr>
          <w:rFonts w:ascii="Arial" w:cs="Arial" w:eastAsia="Arial" w:hAnsi="Arial"/>
          <w:i/>
          <w:iCs/>
          <w:color w:val="333333"/>
          <w:sz w:val="22"/>
          <w:szCs w:val="22"/>
        </w:rPr>
        <w:t xml:space="preserve">I really enjoyed it. 100 percent.</w:t>
      </w:r>
    </w:p>
    <w:p>
      <w:pPr>
        <w:shd w:fill="E8F4F6" w:val="clear"/>
        <w:spacing w:after="120" w:before="120"/>
        <w:ind w:left="360" w:right="360"/>
      </w:pPr>
      <w:r>
        <w:rPr>
          <w:rFonts w:ascii="Arial" w:cs="Arial" w:eastAsia="Arial" w:hAnsi="Arial"/>
          <w:i/>
          <w:iCs/>
          <w:color w:val="333333"/>
          <w:sz w:val="22"/>
          <w:szCs w:val="22"/>
        </w:rPr>
        <w:t xml:space="preserve">It is delivered well and anyone can engage with it.</w:t>
      </w:r>
    </w:p>
    <w:p>
      <w:pPr>
        <w:shd w:fill="E8F4F6" w:val="clear"/>
        <w:spacing w:after="120" w:before="120"/>
        <w:ind w:left="360" w:right="360"/>
      </w:pPr>
      <w:r>
        <w:rPr>
          <w:rFonts w:ascii="Arial" w:cs="Arial" w:eastAsia="Arial" w:hAnsi="Arial"/>
          <w:i/>
          <w:iCs/>
          <w:color w:val="333333"/>
          <w:sz w:val="22"/>
          <w:szCs w:val="22"/>
        </w:rPr>
        <w:t xml:space="preserve">It is a relaxed yet informative session.</w:t>
      </w:r>
    </w:p>
    <w:p>
      <w:pPr>
        <w:shd w:fill="E8F4F6" w:val="clear"/>
        <w:spacing w:after="120" w:before="120"/>
        <w:ind w:left="360" w:right="360"/>
      </w:pPr>
      <w:r>
        <w:rPr>
          <w:rFonts w:ascii="Arial" w:cs="Arial" w:eastAsia="Arial" w:hAnsi="Arial"/>
          <w:i/>
          <w:iCs/>
          <w:color w:val="333333"/>
          <w:sz w:val="22"/>
          <w:szCs w:val="22"/>
        </w:rPr>
        <w:t xml:space="preserve">The trainer explains things and makes you feel heard.</w:t>
      </w:r>
    </w:p>
    <w:p>
      <w:pPr>
        <w:shd w:fill="E8F4F6" w:val="clear"/>
        <w:spacing w:after="120" w:before="120"/>
        <w:ind w:left="360" w:right="360"/>
      </w:pPr>
      <w:r>
        <w:rPr>
          <w:rFonts w:ascii="Arial" w:cs="Arial" w:eastAsia="Arial" w:hAnsi="Arial"/>
          <w:i/>
          <w:iCs/>
          <w:color w:val="333333"/>
          <w:sz w:val="22"/>
          <w:szCs w:val="22"/>
        </w:rPr>
        <w:t xml:space="preserve">I can give it 30 days.</w:t>
      </w:r>
    </w:p>
    <w:p>
      <w:pPr>
        <w:shd w:fill="E8F4F6" w:val="clear"/>
        <w:spacing w:after="120" w:before="120"/>
        <w:ind w:left="360" w:right="360"/>
      </w:pPr>
      <w:r>
        <w:rPr>
          <w:rFonts w:ascii="Arial" w:cs="Arial" w:eastAsia="Arial" w:hAnsi="Arial"/>
          <w:i/>
          <w:iCs/>
          <w:color w:val="333333"/>
          <w:sz w:val="22"/>
          <w:szCs w:val="22"/>
        </w:rPr>
        <w:t xml:space="preserve">It opened me up. I would recommend it to everyone.</w:t>
      </w:r>
    </w:p>
    <w:p>
      <w:pPr>
        <w:shd w:fill="E8F4F6" w:val="clear"/>
        <w:spacing w:after="120" w:before="120"/>
        <w:ind w:left="360" w:right="360"/>
      </w:pPr>
      <w:r>
        <w:rPr>
          <w:rFonts w:ascii="Arial" w:cs="Arial" w:eastAsia="Arial" w:hAnsi="Arial"/>
          <w:i/>
          <w:iCs/>
          <w:color w:val="333333"/>
          <w:sz w:val="22"/>
          <w:szCs w:val="22"/>
        </w:rPr>
        <w:t xml:space="preserve">It works. That is the main thing. It actually works.</w:t>
      </w:r>
    </w:p>
    <w:p>
      <w:pPr>
        <w:shd w:fill="E8F4F6" w:val="clear"/>
        <w:spacing w:after="120" w:before="120"/>
        <w:ind w:left="360" w:right="360"/>
      </w:pPr>
      <w:r>
        <w:rPr>
          <w:rFonts w:ascii="Arial" w:cs="Arial" w:eastAsia="Arial" w:hAnsi="Arial"/>
          <w:i/>
          <w:iCs/>
          <w:color w:val="333333"/>
          <w:sz w:val="22"/>
          <w:szCs w:val="22"/>
        </w:rPr>
        <w:t xml:space="preserve">We all need help. And this helps.</w:t>
      </w:r>
    </w:p>
    <w:p>
      <w:pPr>
        <w:shd w:fill="E8F4F6" w:val="clear"/>
        <w:spacing w:after="120" w:before="120"/>
        <w:ind w:left="360" w:right="360"/>
      </w:pPr>
      <w:r>
        <w:rPr>
          <w:rFonts w:ascii="Arial" w:cs="Arial" w:eastAsia="Arial" w:hAnsi="Arial"/>
          <w:i/>
          <w:iCs/>
          <w:color w:val="333333"/>
          <w:sz w:val="22"/>
          <w:szCs w:val="22"/>
        </w:rPr>
        <w:t xml:space="preserve">Easy to follow format that all could benefit from.</w:t>
      </w:r>
    </w:p>
    <w:p>
      <w:pPr>
        <w:shd w:fill="E8F4F6" w:val="clear"/>
        <w:spacing w:after="120" w:before="120"/>
        <w:ind w:left="360" w:right="360"/>
      </w:pPr>
      <w:r>
        <w:rPr>
          <w:rFonts w:ascii="Arial" w:cs="Arial" w:eastAsia="Arial" w:hAnsi="Arial"/>
          <w:i/>
          <w:iCs/>
          <w:color w:val="333333"/>
          <w:sz w:val="22"/>
          <w:szCs w:val="22"/>
        </w:rPr>
        <w:t xml:space="preserve">It helps more people. That is why I would recommend it.</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10. Summary of Impact</w:t>
      </w:r>
    </w:p>
    <w:p>
      <w:pPr>
        <w:spacing w:after="120" w:before="80"/>
      </w:pPr>
      <w:r>
        <w:rPr>
          <w:rFonts w:ascii="Arial" w:cs="Arial" w:eastAsia="Arial" w:hAnsi="Arial"/>
          <w:color w:val="333333"/>
          <w:sz w:val="22"/>
          <w:szCs w:val="22"/>
        </w:rPr>
        <w:t xml:space="preserve">The BMS Wellbeing CIC wellbeing workshop programme funded by National Lottery Awards for All grant reference 20304989 has delivered measurable and meaningful impact across all evaluated dimensions. The evidence gathered across 15 venues, 223 registered participants, and 348 workshop attendances demonstrates the following.</w:t>
      </w:r>
    </w:p>
    <w:p>
      <w:pPr>
        <w:pStyle w:val="ListParagraph"/>
        <w:numPr>
          <w:ilvl w:val="0"/>
          <w:numId w:val="2"/>
        </w:numPr>
        <w:spacing w:after="60" w:before="60"/>
      </w:pPr>
      <w:r>
        <w:rPr>
          <w:rFonts w:ascii="Arial" w:cs="Arial" w:eastAsia="Arial" w:hAnsi="Arial"/>
          <w:color w:val="333333"/>
          <w:sz w:val="22"/>
          <w:szCs w:val="22"/>
        </w:rPr>
        <w:t xml:space="preserve">Participant wellbeing improved or remained stable across all measured indicators following workshop attendance, with no evidence of deterioration recorded across any participant at any venue.</w:t>
      </w:r>
    </w:p>
    <w:p>
      <w:pPr>
        <w:pStyle w:val="ListParagraph"/>
        <w:numPr>
          <w:ilvl w:val="0"/>
          <w:numId w:val="2"/>
        </w:numPr>
        <w:spacing w:after="60" w:before="60"/>
      </w:pPr>
      <w:r>
        <w:rPr>
          <w:rFonts w:ascii="Arial" w:cs="Arial" w:eastAsia="Arial" w:hAnsi="Arial"/>
          <w:color w:val="333333"/>
          <w:sz w:val="22"/>
          <w:szCs w:val="22"/>
        </w:rPr>
        <w:t xml:space="preserve">All participants reported gaining greater knowledge and understanding of their own wellbeing as a result of attending.</w:t>
      </w:r>
    </w:p>
    <w:p>
      <w:pPr>
        <w:pStyle w:val="ListParagraph"/>
        <w:numPr>
          <w:ilvl w:val="0"/>
          <w:numId w:val="2"/>
        </w:numPr>
        <w:spacing w:after="60" w:before="60"/>
      </w:pPr>
      <w:r>
        <w:rPr>
          <w:rFonts w:ascii="Arial" w:cs="Arial" w:eastAsia="Arial" w:hAnsi="Arial"/>
          <w:color w:val="333333"/>
          <w:sz w:val="22"/>
          <w:szCs w:val="22"/>
        </w:rPr>
        <w:t xml:space="preserve">The overwhelming majority of participants reported feeling more able to make changes to their wellbeing and more confident in discussing wellbeing with others.</w:t>
      </w:r>
    </w:p>
    <w:p>
      <w:pPr>
        <w:pStyle w:val="ListParagraph"/>
        <w:numPr>
          <w:ilvl w:val="0"/>
          <w:numId w:val="2"/>
        </w:numPr>
        <w:spacing w:after="60" w:before="60"/>
      </w:pPr>
      <w:r>
        <w:rPr>
          <w:rFonts w:ascii="Arial" w:cs="Arial" w:eastAsia="Arial" w:hAnsi="Arial"/>
          <w:color w:val="333333"/>
          <w:sz w:val="22"/>
          <w:szCs w:val="22"/>
        </w:rPr>
        <w:t xml:space="preserve">Participants across all workshops and venues identified specific, grounded, and realistic behaviour change intentions following attendance, with a high proportion setting personal goals.</w:t>
      </w:r>
    </w:p>
    <w:p>
      <w:pPr>
        <w:pStyle w:val="ListParagraph"/>
        <w:numPr>
          <w:ilvl w:val="0"/>
          <w:numId w:val="2"/>
        </w:numPr>
        <w:spacing w:after="60" w:before="60"/>
      </w:pPr>
      <w:r>
        <w:rPr>
          <w:rFonts w:ascii="Arial" w:cs="Arial" w:eastAsia="Arial" w:hAnsi="Arial"/>
          <w:color w:val="333333"/>
          <w:sz w:val="22"/>
          <w:szCs w:val="22"/>
        </w:rPr>
        <w:t xml:space="preserve">Course satisfaction was uniformly high across all venues and all workshop types, with no participant disagreeing with any quality indicator across the whole programme.</w:t>
      </w:r>
    </w:p>
    <w:p>
      <w:pPr>
        <w:pStyle w:val="ListParagraph"/>
        <w:numPr>
          <w:ilvl w:val="0"/>
          <w:numId w:val="2"/>
        </w:numPr>
        <w:spacing w:after="60" w:before="60"/>
      </w:pPr>
      <w:r>
        <w:rPr>
          <w:rFonts w:ascii="Arial" w:cs="Arial" w:eastAsia="Arial" w:hAnsi="Arial"/>
          <w:color w:val="333333"/>
          <w:sz w:val="22"/>
          <w:szCs w:val="22"/>
        </w:rPr>
        <w:t xml:space="preserve">Every participant who responded to the recommendation question said they would recommend the workshops to friends and family.</w:t>
      </w:r>
    </w:p>
    <w:p>
      <w:pPr>
        <w:pStyle w:val="ListParagraph"/>
        <w:numPr>
          <w:ilvl w:val="0"/>
          <w:numId w:val="2"/>
        </w:numPr>
        <w:spacing w:after="60" w:before="60"/>
      </w:pPr>
      <w:r>
        <w:rPr>
          <w:rFonts w:ascii="Arial" w:cs="Arial" w:eastAsia="Arial" w:hAnsi="Arial"/>
          <w:color w:val="333333"/>
          <w:sz w:val="22"/>
          <w:szCs w:val="22"/>
        </w:rPr>
        <w:t xml:space="preserve">The programme successfully reached a diverse participant base spanning a wide age range, multiple ethnic and cultural backgrounds, and a range of socioeconomic circumstances including those facing financial disadvantage and health-related barriers.</w:t>
      </w:r>
    </w:p>
    <w:p>
      <w:pPr>
        <w:pStyle w:val="ListParagraph"/>
        <w:numPr>
          <w:ilvl w:val="0"/>
          <w:numId w:val="2"/>
        </w:numPr>
        <w:spacing w:after="60" w:before="60"/>
      </w:pPr>
      <w:r>
        <w:rPr>
          <w:rFonts w:ascii="Arial" w:cs="Arial" w:eastAsia="Arial" w:hAnsi="Arial"/>
          <w:color w:val="333333"/>
          <w:sz w:val="22"/>
          <w:szCs w:val="22"/>
        </w:rPr>
        <w:t xml:space="preserve">Repeat attendance across multiple venues demonstrated sustained participant engagement and genuine programme value.</w:t>
      </w:r>
    </w:p>
    <w:p>
      <w:pPr>
        <w:pStyle w:val="ListParagraph"/>
        <w:numPr>
          <w:ilvl w:val="0"/>
          <w:numId w:val="2"/>
        </w:numPr>
        <w:spacing w:after="60" w:before="60"/>
      </w:pPr>
      <w:r>
        <w:rPr>
          <w:rFonts w:ascii="Arial" w:cs="Arial" w:eastAsia="Arial" w:hAnsi="Arial"/>
          <w:color w:val="333333"/>
          <w:sz w:val="22"/>
          <w:szCs w:val="22"/>
        </w:rPr>
        <w:t xml:space="preserve">The programme was delivered with consistent quality across 15 different venue contexts, demonstrating the adaptability and professionalism of BMS Wellbeing CIC's facilitation approach.</w:t>
      </w:r>
    </w:p>
    <w:p>
      <w:pPr>
        <w:spacing w:after="80" w:before="80"/>
      </w:pPr>
      <w:r>
        <w:t xml:space="preserve"/>
      </w:r>
    </w:p>
    <w:p>
      <w:pPr>
        <w:spacing w:after="120" w:before="80"/>
      </w:pPr>
      <w:r>
        <w:rPr>
          <w:rFonts w:ascii="Arial" w:cs="Arial" w:eastAsia="Arial" w:hAnsi="Arial"/>
          <w:color w:val="333333"/>
          <w:sz w:val="22"/>
          <w:szCs w:val="22"/>
        </w:rPr>
        <w:t xml:space="preserve">BMS Wellbeing CIC wishes to thank National Lottery Awards for All for the funding that made this programme possible, all venue partners who provided accessible community spaces for delivery, and every participant who gave their time, their trust, and their honest feedback across the programme period.</w:t>
      </w:r>
    </w:p>
    <w:p>
      <w:pPr>
        <w:spacing w:after="80" w:before="80"/>
      </w:pPr>
      <w:r>
        <w:t xml:space="preserve"/>
      </w:r>
    </w:p>
    <w:p>
      <w:pPr>
        <w:pBdr>
          <w:top w:val="single" w:color="1B7A8A" w:sz="4"/>
        </w:pBdr>
        <w:spacing w:after="120" w:before="240"/>
        <w:jc w:val="center"/>
      </w:pPr>
      <w:r>
        <w:rPr>
          <w:rFonts w:ascii="Arial" w:cs="Arial" w:eastAsia="Arial" w:hAnsi="Arial"/>
          <w:color w:val="1B7A8A"/>
          <w:sz w:val="18"/>
          <w:szCs w:val="18"/>
        </w:rPr>
        <w:t xml:space="preserve">BMS Wellbeing CIC | www.bmswellbeing.com | joelwhite@bmswellbeing.com | 07853 629 771</w:t>
      </w:r>
    </w:p>
    <w:p>
      <w:pPr>
        <w:spacing w:after="0" w:before="0"/>
        <w:jc w:val="center"/>
      </w:pPr>
      <w:r>
        <w:rPr>
          <w:rFonts w:ascii="Arial" w:cs="Arial" w:eastAsia="Arial" w:hAnsi="Arial"/>
          <w:i/>
          <w:iCs/>
          <w:color w:val="333333"/>
          <w:sz w:val="18"/>
          <w:szCs w:val="18"/>
        </w:rPr>
        <w:t xml:space="preserve">National Lottery Awards for All Grant Reference 20304989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7A8A"/>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B7A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2026-04-08T08:01:30.988Z</dcterms:created>
  <dcterms:modified xsi:type="dcterms:W3CDTF">2026-04-08T08:01:30.989Z</dcterms:modified>
</cp:coreProperties>
</file>

<file path=docProps/custom.xml><?xml version="1.0" encoding="utf-8"?>
<Properties xmlns="http://schemas.openxmlformats.org/officeDocument/2006/custom-properties" xmlns:vt="http://schemas.openxmlformats.org/officeDocument/2006/docPropsVTypes"/>
</file>