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1B7A8C"/>
          <w:sz w:val="52"/>
          <w:szCs w:val="52"/>
        </w:rPr>
        <w:t xml:space="preserve">BMS WELLBEING CIC</w:t>
      </w:r>
    </w:p>
    <w:p>
      <w:pPr>
        <w:spacing w:after="240" w:before="0"/>
        <w:jc w:val="center"/>
      </w:pPr>
      <w:r>
        <w:rPr>
          <w:rFonts w:ascii="Arial" w:cs="Arial" w:eastAsia="Arial" w:hAnsi="Arial"/>
          <w:i/>
          <w:iCs/>
          <w:color w:val="666666"/>
          <w:sz w:val="28"/>
          <w:szCs w:val="28"/>
        </w:rPr>
        <w:t xml:space="preserve">Understanding You</w:t>
      </w:r>
    </w:p>
    <w:p>
      <w:pPr>
        <w:spacing w:after="120" w:before="240"/>
        <w:jc w:val="center"/>
      </w:pPr>
      <w:r>
        <w:rPr>
          <w:rFonts w:ascii="Arial" w:cs="Arial" w:eastAsia="Arial" w:hAnsi="Arial"/>
          <w:b/>
          <w:bCs/>
          <w:color w:val="333333"/>
          <w:sz w:val="36"/>
          <w:szCs w:val="36"/>
        </w:rPr>
        <w:t xml:space="preserve">WELLBEING WORKSHOP PROGRAMME</w:t>
      </w:r>
    </w:p>
    <w:p>
      <w:pPr>
        <w:spacing w:after="60" w:before="60"/>
        <w:jc w:val="center"/>
      </w:pPr>
      <w:r>
        <w:rPr>
          <w:rFonts w:ascii="Arial" w:cs="Arial" w:eastAsia="Arial" w:hAnsi="Arial"/>
          <w:color w:val="666666"/>
          <w:sz w:val="26"/>
          <w:szCs w:val="26"/>
        </w:rPr>
        <w:t xml:space="preserve">Phase 1 Evaluation Report</w:t>
      </w:r>
    </w:p>
    <w:p>
      <w:pPr>
        <w:spacing w:after="60" w:before="60"/>
        <w:jc w:val="center"/>
      </w:pPr>
      <w:r>
        <w:rPr>
          <w:rFonts w:ascii="Arial" w:cs="Arial" w:eastAsia="Arial" w:hAnsi="Arial"/>
          <w:color w:val="666666"/>
          <w:sz w:val="22"/>
          <w:szCs w:val="22"/>
        </w:rPr>
        <w:t xml:space="preserve">National Lottery Awards for All  |  February 2024 to September 2024</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Grant Reference</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Awards for All (awarded August 2023)</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Funder</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National Lottery Awards for All</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Organisation</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BMS Wellbeing CIC</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Reporting Period</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February 2024 to September 2024</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Registered Participants</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128 (exceeding target of 60)</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Venues</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5</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Total Workshop Attendances</w:t>
            </w:r>
          </w:p>
        </w:tc>
        <w:tc>
          <w:tcPr>
            <w:tcW w:type="dxa" w:w="6160"/>
            <w:tcBorders>
              <w:top w:val="single" w:color="CCCCCC" w:sz="1"/>
              <w:left w:val="single" w:color="CCCCCC" w:sz="1"/>
              <w:bottom w:val="single" w:color="CCCCCC" w:sz="1"/>
              <w:right w:val="single" w:color="CCCCCC" w:sz="1"/>
            </w:tcBorders>
            <w:shd w:fill="F5F5F5" w:val="clear"/>
            <w:tcMar>
              <w:top w:type="dxa" w:w="120"/>
              <w:left w:type="dxa" w:w="160"/>
              <w:bottom w:type="dxa" w:w="120"/>
              <w:right w:type="dxa" w:w="160"/>
            </w:tcMar>
          </w:tcPr>
          <w:p>
            <w:r>
              <w:rPr>
                <w:rFonts w:ascii="Arial" w:cs="Arial" w:eastAsia="Arial" w:hAnsi="Arial"/>
                <w:color w:val="333333"/>
                <w:sz w:val="20"/>
                <w:szCs w:val="20"/>
              </w:rPr>
              <w:t xml:space="preserve">151</w:t>
            </w:r>
          </w:p>
        </w:tc>
      </w:tr>
      <w:tr>
        <w:tc>
          <w:tcPr>
            <w:tcW w:type="dxa" w:w="3200"/>
            <w:tcBorders>
              <w:top w:val="single" w:color="CCCCCC" w:sz="1"/>
              <w:left w:val="single" w:color="CCCCCC" w:sz="1"/>
              <w:bottom w:val="single" w:color="CCCCCC" w:sz="1"/>
              <w:right w:val="single" w:color="CCCCCC" w:sz="1"/>
            </w:tcBorders>
            <w:shd w:fill="1B7A8C" w:val="clear"/>
            <w:tcMar>
              <w:top w:type="dxa" w:w="120"/>
              <w:left w:type="dxa" w:w="160"/>
              <w:bottom w:type="dxa" w:w="120"/>
              <w:right w:type="dxa" w:w="160"/>
            </w:tcMar>
          </w:tcPr>
          <w:p>
            <w:r>
              <w:rPr>
                <w:rFonts w:ascii="Arial" w:cs="Arial" w:eastAsia="Arial" w:hAnsi="Arial"/>
                <w:b/>
                <w:bCs/>
                <w:color w:val="FFFFFF"/>
                <w:sz w:val="20"/>
                <w:szCs w:val="20"/>
              </w:rPr>
              <w:t xml:space="preserve">Workshops Delivered</w:t>
            </w:r>
          </w:p>
        </w:tc>
        <w:tc>
          <w:tcPr>
            <w:tcW w:type="dxa" w:w="6160"/>
            <w:tcBorders>
              <w:top w:val="single" w:color="CCCCCC" w:sz="1"/>
              <w:left w:val="single" w:color="CCCCCC" w:sz="1"/>
              <w:bottom w:val="single" w:color="CCCCCC" w:sz="1"/>
              <w:right w:val="single" w:color="CCCCCC" w:sz="1"/>
            </w:tcBorders>
            <w:shd w:fill="FFFFFF" w:val="clear"/>
            <w:tcMar>
              <w:top w:type="dxa" w:w="120"/>
              <w:left w:type="dxa" w:w="160"/>
              <w:bottom w:type="dxa" w:w="120"/>
              <w:right w:type="dxa" w:w="160"/>
            </w:tcMar>
          </w:tcPr>
          <w:p>
            <w:r>
              <w:rPr>
                <w:rFonts w:ascii="Arial" w:cs="Arial" w:eastAsia="Arial" w:hAnsi="Arial"/>
                <w:color w:val="333333"/>
                <w:sz w:val="20"/>
                <w:szCs w:val="20"/>
              </w:rPr>
              <w:t xml:space="preserve">Break the Habit (Smoking Cessation), Confidence in Communication, 5 Ways to Wellbeing, Healthy Eating, Mindfulness, Physical Activity, Sleep, Stress and Relaxation</w:t>
            </w:r>
          </w:p>
        </w:tc>
      </w:tr>
    </w:tbl>
    <w:p>
      <w:pPr>
        <w:spacing w:after="60" w:before="60"/>
      </w:pPr>
      <w:r>
        <w:t xml:space="preserve"/>
      </w:r>
    </w:p>
    <w:p>
      <w:pPr>
        <w:pStyle w:val="Heading1"/>
        <w:pBdr>
          <w:bottom w:val="single" w:color="1B7A8C" w:sz="6" w:space="4"/>
        </w:pBdr>
        <w:spacing w:after="120" w:before="360"/>
      </w:pPr>
      <w:r>
        <w:rPr>
          <w:rFonts w:ascii="Arial" w:cs="Arial" w:eastAsia="Arial" w:hAnsi="Arial"/>
          <w:b/>
          <w:bCs/>
          <w:color w:val="1B7A8C"/>
          <w:sz w:val="28"/>
          <w:szCs w:val="28"/>
        </w:rPr>
        <w:t xml:space="preserve">1. Executive Summary</w:t>
      </w:r>
    </w:p>
    <w:p>
      <w:pPr>
        <w:spacing w:after="120" w:before="80"/>
      </w:pPr>
      <w:r>
        <w:rPr>
          <w:rFonts w:ascii="Arial" w:cs="Arial" w:eastAsia="Arial" w:hAnsi="Arial"/>
          <w:color w:val="333333"/>
          <w:sz w:val="22"/>
          <w:szCs w:val="22"/>
        </w:rPr>
        <w:t xml:space="preserve">BMS Wellbeing CIC delivered a pilot community wellbeing programme across five venues in Trafford and East Manchester under National Lottery Awards for All funding, awarded in August 2023. The programme engaged 128 registered participants across five venues, recording 151 individual workshop attendances across eight distinct wellbeing workshop topics.</w:t>
      </w:r>
    </w:p>
    <w:p>
      <w:pPr>
        <w:spacing w:after="120" w:before="80"/>
      </w:pPr>
      <w:r>
        <w:rPr>
          <w:rFonts w:ascii="Arial" w:cs="Arial" w:eastAsia="Arial" w:hAnsi="Arial"/>
          <w:color w:val="333333"/>
          <w:sz w:val="22"/>
          <w:szCs w:val="22"/>
        </w:rPr>
        <w:t xml:space="preserve">This report draws on pre-questionnaire data, post-workshop evaluation forms, registers, and participant feedback gathered across all venues and all workshop types. The evidence demonstrates consistent delivery with measurable positive impact on participant wellbeing, knowledge, and behaviour change intention.</w:t>
      </w:r>
    </w:p>
    <w:p>
      <w:pPr>
        <w:spacing w:after="120" w:before="80"/>
      </w:pPr>
      <w:r>
        <w:rPr>
          <w:rFonts w:ascii="Arial" w:cs="Arial" w:eastAsia="Arial" w:hAnsi="Arial"/>
          <w:color w:val="333333"/>
          <w:sz w:val="22"/>
          <w:szCs w:val="22"/>
        </w:rPr>
        <w:t xml:space="preserve">The programme substantially exceeded its target of 60 participants, reaching a broad community of adults across the Trafford borough and East Manchester. The most attended workshop across all venues was Mindfulness, with 28 participants. The programme demonstrated measurable improvements in mental wellbeing, with 54 per cent of participants showing improvement on the Warwick Edinburgh Mental Wellbeing Scale and 46 per cent showing improvement on the Loneliness Measure Scale.</w:t>
      </w:r>
    </w:p>
    <w:p>
      <w:pPr>
        <w:spacing w:after="120" w:before="80"/>
      </w:pPr>
      <w:r>
        <w:rPr>
          <w:rFonts w:ascii="Arial" w:cs="Arial" w:eastAsia="Arial" w:hAnsi="Arial"/>
          <w:color w:val="333333"/>
          <w:sz w:val="22"/>
          <w:szCs w:val="22"/>
        </w:rPr>
        <w:t xml:space="preserve">Participant demographics reflected the local community, with 86 per cent female, 78 per cent White British, and 54 per cent in receipt of welfare benefits. The programme successfully reached individuals facing financial disadvantage and social isolation alongside those engaging from a position of relative stability.</w:t>
      </w:r>
    </w:p>
    <w:p>
      <w:pPr>
        <w:pStyle w:val="Heading1"/>
        <w:pBdr>
          <w:bottom w:val="single" w:color="1B7A8C" w:sz="6" w:space="4"/>
        </w:pBdr>
        <w:spacing w:after="120" w:before="360"/>
      </w:pPr>
      <w:r>
        <w:rPr>
          <w:rFonts w:ascii="Arial" w:cs="Arial" w:eastAsia="Arial" w:hAnsi="Arial"/>
          <w:b/>
          <w:bCs/>
          <w:color w:val="1B7A8C"/>
          <w:sz w:val="28"/>
          <w:szCs w:val="28"/>
        </w:rPr>
        <w:t xml:space="preserve">2. Programme Objectives</w:t>
      </w:r>
    </w:p>
    <w:p>
      <w:pPr>
        <w:spacing w:after="120" w:before="80"/>
      </w:pPr>
      <w:r>
        <w:rPr>
          <w:rFonts w:ascii="Arial" w:cs="Arial" w:eastAsia="Arial" w:hAnsi="Arial"/>
          <w:color w:val="333333"/>
          <w:sz w:val="22"/>
          <w:szCs w:val="22"/>
        </w:rPr>
        <w:t xml:space="preserve">The programme was designed to demonstrate the following outcomes among all individuals who engaged in the wellbeing workshops.</w:t>
      </w:r>
    </w:p>
    <w:p>
      <w:pPr>
        <w:pStyle w:val="ListParagraph"/>
        <w:numPr>
          <w:ilvl w:val="0"/>
          <w:numId w:val="2"/>
        </w:numPr>
        <w:spacing w:after="40" w:before="40"/>
      </w:pPr>
      <w:r>
        <w:rPr>
          <w:rFonts w:ascii="Arial" w:cs="Arial" w:eastAsia="Arial" w:hAnsi="Arial"/>
          <w:color w:val="333333"/>
          <w:sz w:val="22"/>
          <w:szCs w:val="22"/>
        </w:rPr>
        <w:t xml:space="preserve">Reduced isolation and increased connection with community.</w:t>
      </w:r>
    </w:p>
    <w:p>
      <w:pPr>
        <w:pStyle w:val="ListParagraph"/>
        <w:numPr>
          <w:ilvl w:val="0"/>
          <w:numId w:val="2"/>
        </w:numPr>
        <w:spacing w:after="40" w:before="40"/>
      </w:pPr>
      <w:r>
        <w:rPr>
          <w:rFonts w:ascii="Arial" w:cs="Arial" w:eastAsia="Arial" w:hAnsi="Arial"/>
          <w:color w:val="333333"/>
          <w:sz w:val="22"/>
          <w:szCs w:val="22"/>
        </w:rPr>
        <w:t xml:space="preserve">Improvement in knowledge and understanding around their own health and wellbeing.</w:t>
      </w:r>
    </w:p>
    <w:p>
      <w:pPr>
        <w:pStyle w:val="ListParagraph"/>
        <w:numPr>
          <w:ilvl w:val="0"/>
          <w:numId w:val="2"/>
        </w:numPr>
        <w:spacing w:after="40" w:before="40"/>
      </w:pPr>
      <w:r>
        <w:rPr>
          <w:rFonts w:ascii="Arial" w:cs="Arial" w:eastAsia="Arial" w:hAnsi="Arial"/>
          <w:color w:val="333333"/>
          <w:sz w:val="22"/>
          <w:szCs w:val="22"/>
        </w:rPr>
        <w:t xml:space="preserve">Participants feeling more able to make a change to their own health and wellbeing.</w:t>
      </w:r>
    </w:p>
    <w:p>
      <w:pPr>
        <w:pStyle w:val="ListParagraph"/>
        <w:numPr>
          <w:ilvl w:val="0"/>
          <w:numId w:val="2"/>
        </w:numPr>
        <w:spacing w:after="40" w:before="40"/>
      </w:pPr>
      <w:r>
        <w:rPr>
          <w:rFonts w:ascii="Arial" w:cs="Arial" w:eastAsia="Arial" w:hAnsi="Arial"/>
          <w:color w:val="333333"/>
          <w:sz w:val="22"/>
          <w:szCs w:val="22"/>
        </w:rPr>
        <w:t xml:space="preserve">Development in participants' levels of emotional resilience.</w:t>
      </w:r>
    </w:p>
    <w:p>
      <w:pPr>
        <w:spacing w:after="60" w:before="60"/>
      </w:pPr>
      <w:r>
        <w:t xml:space="preserve"/>
      </w:r>
    </w:p>
    <w:p>
      <w:pPr>
        <w:spacing w:after="120" w:before="80"/>
      </w:pPr>
      <w:r>
        <w:rPr>
          <w:rFonts w:ascii="Arial" w:cs="Arial" w:eastAsia="Arial" w:hAnsi="Arial"/>
          <w:color w:val="333333"/>
          <w:sz w:val="22"/>
          <w:szCs w:val="22"/>
        </w:rPr>
        <w:t xml:space="preserve">The sections that follow set out the evidence gathered across all venues and all workshop types and demonstrate how each of these objectives was met across the programme.</w:t>
      </w:r>
    </w:p>
    <w:p>
      <w:pPr>
        <w:pStyle w:val="Heading1"/>
        <w:pBdr>
          <w:bottom w:val="single" w:color="1B7A8C" w:sz="6" w:space="4"/>
        </w:pBdr>
        <w:spacing w:after="120" w:before="360"/>
      </w:pPr>
      <w:r>
        <w:rPr>
          <w:rFonts w:ascii="Arial" w:cs="Arial" w:eastAsia="Arial" w:hAnsi="Arial"/>
          <w:b/>
          <w:bCs/>
          <w:color w:val="1B7A8C"/>
          <w:sz w:val="28"/>
          <w:szCs w:val="28"/>
        </w:rPr>
        <w:t xml:space="preserve">3. Programme Delivery</w:t>
      </w:r>
    </w:p>
    <w:p>
      <w:pPr>
        <w:pStyle w:val="Heading2"/>
        <w:spacing w:after="80" w:before="240"/>
      </w:pPr>
      <w:r>
        <w:rPr>
          <w:rFonts w:ascii="Arial" w:cs="Arial" w:eastAsia="Arial" w:hAnsi="Arial"/>
          <w:b/>
          <w:bCs/>
          <w:color w:val="333333"/>
          <w:sz w:val="24"/>
          <w:szCs w:val="24"/>
        </w:rPr>
        <w:t xml:space="preserve">3.1 Venues and Reach</w:t>
      </w:r>
    </w:p>
    <w:p>
      <w:pPr>
        <w:spacing w:after="120" w:before="80"/>
      </w:pPr>
      <w:r>
        <w:rPr>
          <w:rFonts w:ascii="Arial" w:cs="Arial" w:eastAsia="Arial" w:hAnsi="Arial"/>
          <w:color w:val="333333"/>
          <w:sz w:val="22"/>
          <w:szCs w:val="22"/>
        </w:rPr>
        <w:t xml:space="preserve">The programme was delivered across five venues spanning the Trafford borough and East Manchester. Venues were selected based on existing partnerships, previous collaboration, and their location within priority communities. All workshops were delivered with the agreement and oversight of partner venues at the time of delivery.</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Trafford Venues</w:t>
      </w:r>
    </w:p>
    <w:p>
      <w:pPr>
        <w:spacing w:after="40" w:before="80"/>
      </w:pPr>
      <w:r>
        <w:rPr>
          <w:rFonts w:ascii="Arial" w:cs="Arial" w:eastAsia="Arial" w:hAnsi="Arial"/>
          <w:b/>
          <w:bCs/>
          <w:color w:val="333333"/>
          <w:sz w:val="22"/>
          <w:szCs w:val="22"/>
        </w:rPr>
        <w:t xml:space="preserve">The Hub, Altrincham</w:t>
      </w:r>
    </w:p>
    <w:p>
      <w:pPr>
        <w:spacing w:after="120" w:before="80"/>
      </w:pPr>
      <w:r>
        <w:rPr>
          <w:rFonts w:ascii="Arial" w:cs="Arial" w:eastAsia="Arial" w:hAnsi="Arial"/>
          <w:color w:val="333333"/>
          <w:sz w:val="22"/>
          <w:szCs w:val="22"/>
        </w:rPr>
        <w:t xml:space="preserve">Community Centre, Pownall Road, Altrincham, WA14 2SZ</w:t>
      </w:r>
    </w:p>
    <w:p>
      <w:pPr>
        <w:spacing w:after="120" w:before="80"/>
      </w:pPr>
      <w:r>
        <w:rPr>
          <w:rFonts w:ascii="Arial" w:cs="Arial" w:eastAsia="Arial" w:hAnsi="Arial"/>
          <w:color w:val="333333"/>
          <w:sz w:val="22"/>
          <w:szCs w:val="22"/>
        </w:rPr>
        <w:t xml:space="preserve">17 attendees across the programme period.</w:t>
      </w:r>
    </w:p>
    <w:p>
      <w:pPr>
        <w:spacing w:after="40" w:before="80"/>
      </w:pPr>
      <w:r>
        <w:rPr>
          <w:rFonts w:ascii="Arial" w:cs="Arial" w:eastAsia="Arial" w:hAnsi="Arial"/>
          <w:b/>
          <w:bCs/>
          <w:color w:val="333333"/>
          <w:sz w:val="22"/>
          <w:szCs w:val="22"/>
        </w:rPr>
        <w:t xml:space="preserve">Sale West Community Centre (Our Sale West Local)</w:t>
      </w:r>
    </w:p>
    <w:p>
      <w:pPr>
        <w:spacing w:after="120" w:before="80"/>
      </w:pPr>
      <w:r>
        <w:rPr>
          <w:rFonts w:ascii="Arial" w:cs="Arial" w:eastAsia="Arial" w:hAnsi="Arial"/>
          <w:color w:val="333333"/>
          <w:sz w:val="22"/>
          <w:szCs w:val="22"/>
        </w:rPr>
        <w:t xml:space="preserve">Sale West Community Centre, Newbury Ave, Sale, M33 4QH</w:t>
      </w:r>
    </w:p>
    <w:p>
      <w:pPr>
        <w:spacing w:after="120" w:before="80"/>
      </w:pPr>
      <w:r>
        <w:rPr>
          <w:rFonts w:ascii="Arial" w:cs="Arial" w:eastAsia="Arial" w:hAnsi="Arial"/>
          <w:color w:val="333333"/>
          <w:sz w:val="22"/>
          <w:szCs w:val="22"/>
        </w:rPr>
        <w:t xml:space="preserve">7 attendees across the programme period.</w:t>
      </w:r>
    </w:p>
    <w:p>
      <w:pPr>
        <w:spacing w:after="40" w:before="80"/>
      </w:pPr>
      <w:r>
        <w:rPr>
          <w:rFonts w:ascii="Arial" w:cs="Arial" w:eastAsia="Arial" w:hAnsi="Arial"/>
          <w:b/>
          <w:bCs/>
          <w:color w:val="333333"/>
          <w:sz w:val="22"/>
          <w:szCs w:val="22"/>
        </w:rPr>
        <w:t xml:space="preserve">St John's Centre</w:t>
      </w:r>
    </w:p>
    <w:p>
      <w:pPr>
        <w:spacing w:after="120" w:before="80"/>
      </w:pPr>
      <w:r>
        <w:rPr>
          <w:rFonts w:ascii="Arial" w:cs="Arial" w:eastAsia="Arial" w:hAnsi="Arial"/>
          <w:color w:val="333333"/>
          <w:sz w:val="22"/>
          <w:szCs w:val="22"/>
        </w:rPr>
        <w:t xml:space="preserve">St John's Rd, Old Trafford, Manchester, M16 7GX</w:t>
      </w:r>
    </w:p>
    <w:p>
      <w:pPr>
        <w:spacing w:after="120" w:before="80"/>
      </w:pPr>
      <w:r>
        <w:rPr>
          <w:rFonts w:ascii="Arial" w:cs="Arial" w:eastAsia="Arial" w:hAnsi="Arial"/>
          <w:color w:val="333333"/>
          <w:sz w:val="22"/>
          <w:szCs w:val="22"/>
        </w:rPr>
        <w:t xml:space="preserve">64 attendees across the programme period.</w:t>
      </w:r>
    </w:p>
    <w:p>
      <w:pPr>
        <w:spacing w:after="40" w:before="80"/>
      </w:pPr>
      <w:r>
        <w:rPr>
          <w:rFonts w:ascii="Arial" w:cs="Arial" w:eastAsia="Arial" w:hAnsi="Arial"/>
          <w:b/>
          <w:bCs/>
          <w:color w:val="333333"/>
          <w:sz w:val="22"/>
          <w:szCs w:val="22"/>
        </w:rPr>
        <w:t xml:space="preserve">St Mary's Magdalene Church (Sale West Community Urban Fund)</w:t>
      </w:r>
    </w:p>
    <w:p>
      <w:pPr>
        <w:spacing w:after="120" w:before="80"/>
      </w:pPr>
      <w:r>
        <w:rPr>
          <w:rFonts w:ascii="Arial" w:cs="Arial" w:eastAsia="Arial" w:hAnsi="Arial"/>
          <w:color w:val="333333"/>
          <w:sz w:val="22"/>
          <w:szCs w:val="22"/>
        </w:rPr>
        <w:t xml:space="preserve">44 Moss Lane, Sale, Trafford, M33 6GD</w:t>
      </w:r>
    </w:p>
    <w:p>
      <w:pPr>
        <w:spacing w:after="120" w:before="80"/>
      </w:pPr>
      <w:r>
        <w:rPr>
          <w:rFonts w:ascii="Arial" w:cs="Arial" w:eastAsia="Arial" w:hAnsi="Arial"/>
          <w:color w:val="333333"/>
          <w:sz w:val="22"/>
          <w:szCs w:val="22"/>
        </w:rPr>
        <w:t xml:space="preserve">25 attendees across the programme period.</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East Manchester Venue</w:t>
      </w:r>
    </w:p>
    <w:p>
      <w:pPr>
        <w:spacing w:after="40" w:before="80"/>
      </w:pPr>
      <w:r>
        <w:rPr>
          <w:rFonts w:ascii="Arial" w:cs="Arial" w:eastAsia="Arial" w:hAnsi="Arial"/>
          <w:b/>
          <w:bCs/>
          <w:color w:val="333333"/>
          <w:sz w:val="22"/>
          <w:szCs w:val="22"/>
        </w:rPr>
        <w:t xml:space="preserve">The Resonance Centre</w:t>
      </w:r>
    </w:p>
    <w:p>
      <w:pPr>
        <w:spacing w:after="120" w:before="80"/>
      </w:pPr>
      <w:r>
        <w:rPr>
          <w:rFonts w:ascii="Arial" w:cs="Arial" w:eastAsia="Arial" w:hAnsi="Arial"/>
          <w:color w:val="333333"/>
          <w:sz w:val="22"/>
          <w:szCs w:val="22"/>
        </w:rPr>
        <w:t xml:space="preserve">599 Ashton New Road, Clayton, Manchester, M11 4SG</w:t>
      </w:r>
    </w:p>
    <w:p>
      <w:pPr>
        <w:spacing w:after="120" w:before="80"/>
      </w:pPr>
      <w:r>
        <w:rPr>
          <w:rFonts w:ascii="Arial" w:cs="Arial" w:eastAsia="Arial" w:hAnsi="Arial"/>
          <w:color w:val="333333"/>
          <w:sz w:val="22"/>
          <w:szCs w:val="22"/>
        </w:rPr>
        <w:t xml:space="preserve">15 attendees across the programme period.</w:t>
      </w:r>
    </w:p>
    <w:p>
      <w:pPr>
        <w:spacing w:after="60" w:before="60"/>
      </w:pPr>
      <w:r>
        <w:t xml:space="preserve"/>
      </w:r>
    </w:p>
    <w:p>
      <w:pPr>
        <w:spacing w:after="120" w:before="80"/>
      </w:pPr>
      <w:r>
        <w:rPr>
          <w:rFonts w:ascii="Arial" w:cs="Arial" w:eastAsia="Arial" w:hAnsi="Arial"/>
          <w:color w:val="333333"/>
          <w:sz w:val="22"/>
          <w:szCs w:val="22"/>
        </w:rPr>
        <w:t xml:space="preserve">The geographic spread of venues ensured that the programme reached participants across the Trafford borough, including Altrincham, Sale, and Old Trafford, as well as the East Manchester community of Clayton. This footprint reflects BMS Wellbeing CIC's commitment to meeting people in their own communities rather than requiring travel to a single centralised provision point.</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3.2 Workshops Delivered</w:t>
      </w:r>
    </w:p>
    <w:p>
      <w:pPr>
        <w:spacing w:after="120" w:before="80"/>
      </w:pPr>
      <w:r>
        <w:rPr>
          <w:rFonts w:ascii="Arial" w:cs="Arial" w:eastAsia="Arial" w:hAnsi="Arial"/>
          <w:color w:val="333333"/>
          <w:sz w:val="22"/>
          <w:szCs w:val="22"/>
        </w:rPr>
        <w:t xml:space="preserve">Eight distinct wellbeing workshop topics were delivered across the programme, each designed to address a specific dimension of health and wellbeing. The workshops delivered were as follows.</w:t>
      </w:r>
    </w:p>
    <w:p>
      <w:pPr>
        <w:pStyle w:val="ListParagraph"/>
        <w:numPr>
          <w:ilvl w:val="0"/>
          <w:numId w:val="2"/>
        </w:numPr>
        <w:spacing w:after="40" w:before="40"/>
      </w:pPr>
      <w:r>
        <w:rPr>
          <w:rFonts w:ascii="Arial" w:cs="Arial" w:eastAsia="Arial" w:hAnsi="Arial"/>
          <w:color w:val="333333"/>
          <w:sz w:val="22"/>
          <w:szCs w:val="22"/>
        </w:rPr>
        <w:t xml:space="preserve">Break the Habit: Smoking Cessation. Participants became more aware of how smoking impacts the body and learned a range of strategies to support quitting.</w:t>
      </w:r>
    </w:p>
    <w:p>
      <w:pPr>
        <w:pStyle w:val="ListParagraph"/>
        <w:numPr>
          <w:ilvl w:val="0"/>
          <w:numId w:val="2"/>
        </w:numPr>
        <w:spacing w:after="40" w:before="40"/>
      </w:pPr>
      <w:r>
        <w:rPr>
          <w:rFonts w:ascii="Arial" w:cs="Arial" w:eastAsia="Arial" w:hAnsi="Arial"/>
          <w:color w:val="333333"/>
          <w:sz w:val="22"/>
          <w:szCs w:val="22"/>
        </w:rPr>
        <w:t xml:space="preserve">Confidence in Communication. Participants developed confidence in communicating their feelings and needs, supporting improved relationships and quality of life.</w:t>
      </w:r>
    </w:p>
    <w:p>
      <w:pPr>
        <w:pStyle w:val="ListParagraph"/>
        <w:numPr>
          <w:ilvl w:val="0"/>
          <w:numId w:val="2"/>
        </w:numPr>
        <w:spacing w:after="40" w:before="40"/>
      </w:pPr>
      <w:r>
        <w:rPr>
          <w:rFonts w:ascii="Arial" w:cs="Arial" w:eastAsia="Arial" w:hAnsi="Arial"/>
          <w:color w:val="333333"/>
          <w:sz w:val="22"/>
          <w:szCs w:val="22"/>
        </w:rPr>
        <w:t xml:space="preserve">5 Ways to Wellbeing. Participants developed simple, practical approaches to enhance their health and wellbeing across the five evidence-based areas of the framework.</w:t>
      </w:r>
    </w:p>
    <w:p>
      <w:pPr>
        <w:pStyle w:val="ListParagraph"/>
        <w:numPr>
          <w:ilvl w:val="0"/>
          <w:numId w:val="2"/>
        </w:numPr>
        <w:spacing w:after="40" w:before="40"/>
      </w:pPr>
      <w:r>
        <w:rPr>
          <w:rFonts w:ascii="Arial" w:cs="Arial" w:eastAsia="Arial" w:hAnsi="Arial"/>
          <w:color w:val="333333"/>
          <w:sz w:val="22"/>
          <w:szCs w:val="22"/>
        </w:rPr>
        <w:t xml:space="preserve">Healthy Eating. Participants learned about the impact of food on mental and physical health and explored how small dietary changes can lead to meaningful improvement.</w:t>
      </w:r>
    </w:p>
    <w:p>
      <w:pPr>
        <w:pStyle w:val="ListParagraph"/>
        <w:numPr>
          <w:ilvl w:val="0"/>
          <w:numId w:val="2"/>
        </w:numPr>
        <w:spacing w:after="40" w:before="40"/>
      </w:pPr>
      <w:r>
        <w:rPr>
          <w:rFonts w:ascii="Arial" w:cs="Arial" w:eastAsia="Arial" w:hAnsi="Arial"/>
          <w:color w:val="333333"/>
          <w:sz w:val="22"/>
          <w:szCs w:val="22"/>
        </w:rPr>
        <w:t xml:space="preserve">Mindfulness. Participants learned simple tools and techniques to bring greater mindfulness into daily life, developing a stronger sense of wellbeing. This was the most attended workshop across all venues, with 28 participants.</w:t>
      </w:r>
    </w:p>
    <w:p>
      <w:pPr>
        <w:pStyle w:val="ListParagraph"/>
        <w:numPr>
          <w:ilvl w:val="0"/>
          <w:numId w:val="2"/>
        </w:numPr>
        <w:spacing w:after="40" w:before="40"/>
      </w:pPr>
      <w:r>
        <w:rPr>
          <w:rFonts w:ascii="Arial" w:cs="Arial" w:eastAsia="Arial" w:hAnsi="Arial"/>
          <w:color w:val="333333"/>
          <w:sz w:val="22"/>
          <w:szCs w:val="22"/>
        </w:rPr>
        <w:t xml:space="preserve">Physical Activity. Participants learned about the importance of physical activity and explored ways to become more physically active in their daily lives.</w:t>
      </w:r>
    </w:p>
    <w:p>
      <w:pPr>
        <w:pStyle w:val="ListParagraph"/>
        <w:numPr>
          <w:ilvl w:val="0"/>
          <w:numId w:val="2"/>
        </w:numPr>
        <w:spacing w:after="40" w:before="40"/>
      </w:pPr>
      <w:r>
        <w:rPr>
          <w:rFonts w:ascii="Arial" w:cs="Arial" w:eastAsia="Arial" w:hAnsi="Arial"/>
          <w:color w:val="333333"/>
          <w:sz w:val="22"/>
          <w:szCs w:val="22"/>
        </w:rPr>
        <w:t xml:space="preserve">Sleep. Participants learned about the importance of sleep and its impact on mind and body, including practical hints and tips to improve sleep quality.</w:t>
      </w:r>
    </w:p>
    <w:p>
      <w:pPr>
        <w:pStyle w:val="ListParagraph"/>
        <w:numPr>
          <w:ilvl w:val="0"/>
          <w:numId w:val="2"/>
        </w:numPr>
        <w:spacing w:after="40" w:before="40"/>
      </w:pPr>
      <w:r>
        <w:rPr>
          <w:rFonts w:ascii="Arial" w:cs="Arial" w:eastAsia="Arial" w:hAnsi="Arial"/>
          <w:color w:val="333333"/>
          <w:sz w:val="22"/>
          <w:szCs w:val="22"/>
        </w:rPr>
        <w:t xml:space="preserve">Stress and Relaxation. Participants gained a greater understanding of stress and its effects on health and wellbeing, alongside techniques to manage and reduce stress levels.</w:t>
      </w:r>
    </w:p>
    <w:p>
      <w:pPr>
        <w:spacing w:after="60" w:before="60"/>
      </w:pPr>
      <w:r>
        <w:t xml:space="preserve"/>
      </w:r>
    </w:p>
    <w:p>
      <w:pPr>
        <w:pStyle w:val="Heading2"/>
        <w:spacing w:after="80" w:before="240"/>
      </w:pPr>
      <w:r>
        <w:rPr>
          <w:rFonts w:ascii="Arial" w:cs="Arial" w:eastAsia="Arial" w:hAnsi="Arial"/>
          <w:b/>
          <w:bCs/>
          <w:color w:val="333333"/>
          <w:sz w:val="24"/>
          <w:szCs w:val="24"/>
        </w:rPr>
        <w:t xml:space="preserve">3.3 Participant Profile</w:t>
      </w:r>
    </w:p>
    <w:p>
      <w:pPr>
        <w:spacing w:after="120" w:before="80"/>
      </w:pPr>
      <w:r>
        <w:rPr>
          <w:rFonts w:ascii="Arial" w:cs="Arial" w:eastAsia="Arial" w:hAnsi="Arial"/>
          <w:color w:val="333333"/>
          <w:sz w:val="22"/>
          <w:szCs w:val="22"/>
        </w:rPr>
        <w:t xml:space="preserve">The programme engaged 128 registered participants across the full delivery period. The participant demographic reflected the communities served by each venue.</w:t>
      </w:r>
    </w:p>
    <w:p>
      <w:pPr>
        <w:spacing w:after="120" w:before="80"/>
      </w:pPr>
      <w:r>
        <w:rPr>
          <w:rFonts w:ascii="Arial" w:cs="Arial" w:eastAsia="Arial" w:hAnsi="Arial"/>
          <w:color w:val="333333"/>
          <w:sz w:val="22"/>
          <w:szCs w:val="22"/>
        </w:rPr>
        <w:t xml:space="preserve">Gender: 86 per cent of participants were female and 14 per cent were male. Ethnicity: 78 per cent of participants identified as White British. A total of 54 per cent of participants were in receipt of welfare benefits at the point of attending, confirming that the programme successfully reached individuals experiencing financial disadvantage alongside those attending from a position of relative stability.</w:t>
      </w:r>
    </w:p>
    <w:p>
      <w:pPr>
        <w:spacing w:after="120" w:before="80"/>
      </w:pPr>
      <w:r>
        <w:rPr>
          <w:rFonts w:ascii="Arial" w:cs="Arial" w:eastAsia="Arial" w:hAnsi="Arial"/>
          <w:color w:val="333333"/>
          <w:sz w:val="22"/>
          <w:szCs w:val="22"/>
        </w:rPr>
        <w:t xml:space="preserve">Engagement patterns across the programme showed that 54 per cent of individuals attended one workshop, 26 per cent attended two to three workshops, and 20 per cent attended four or more workshops, indicating a meaningful level of sustained engagement across the participant base.</w:t>
      </w:r>
    </w:p>
    <w:p>
      <w:pPr>
        <w:pStyle w:val="Heading1"/>
        <w:pBdr>
          <w:bottom w:val="single" w:color="1B7A8C" w:sz="6" w:space="4"/>
        </w:pBdr>
        <w:spacing w:after="120" w:before="360"/>
      </w:pPr>
      <w:r>
        <w:rPr>
          <w:rFonts w:ascii="Arial" w:cs="Arial" w:eastAsia="Arial" w:hAnsi="Arial"/>
          <w:b/>
          <w:bCs/>
          <w:color w:val="1B7A8C"/>
          <w:sz w:val="28"/>
          <w:szCs w:val="28"/>
        </w:rPr>
        <w:t xml:space="preserve">4. Wellbeing Outcomes</w:t>
      </w:r>
    </w:p>
    <w:p>
      <w:pPr>
        <w:pStyle w:val="Heading2"/>
        <w:spacing w:after="80" w:before="240"/>
      </w:pPr>
      <w:r>
        <w:rPr>
          <w:rFonts w:ascii="Arial" w:cs="Arial" w:eastAsia="Arial" w:hAnsi="Arial"/>
          <w:b/>
          <w:bCs/>
          <w:color w:val="333333"/>
          <w:sz w:val="24"/>
          <w:szCs w:val="24"/>
        </w:rPr>
        <w:t xml:space="preserve">4.1 Pre and Post Wellbeing Measurement</w:t>
      </w:r>
    </w:p>
    <w:p>
      <w:pPr>
        <w:spacing w:after="120" w:before="80"/>
      </w:pPr>
      <w:r>
        <w:rPr>
          <w:rFonts w:ascii="Arial" w:cs="Arial" w:eastAsia="Arial" w:hAnsi="Arial"/>
          <w:color w:val="333333"/>
          <w:sz w:val="22"/>
          <w:szCs w:val="22"/>
        </w:rPr>
        <w:t xml:space="preserve">Wellbeing was measured using the Warwick Edinburgh Mental Wellbeing Scale and the Loneliness Measure Scale. Pre-questionnaires were completed by participants at the point of registration, providing a baseline against which post-workshop scores could be compared.</w:t>
      </w:r>
    </w:p>
    <w:p>
      <w:pPr>
        <w:spacing w:after="120" w:before="80"/>
      </w:pPr>
      <w:r>
        <w:rPr>
          <w:rFonts w:ascii="Arial" w:cs="Arial" w:eastAsia="Arial" w:hAnsi="Arial"/>
          <w:color w:val="333333"/>
          <w:sz w:val="22"/>
          <w:szCs w:val="22"/>
        </w:rPr>
        <w:t xml:space="preserve">Across participants where matched pre and post data was available, the overall pattern showed positive movement across wellbeing indicators following workshop attendance. Improvement in mental health was recorded for 54 per cent of participants on the Warwick Edinburgh Mental Wellbeing Scale and for 46 per cent of participants on the Loneliness Measure Scale. This demonstrates measurable progress against the programme objectives of improving knowledge and understanding around health and wellbeing and reducing isolation whilst increasing connection with community.</w:t>
      </w:r>
    </w:p>
    <w:p>
      <w:pPr>
        <w:pStyle w:val="Heading2"/>
        <w:spacing w:after="80" w:before="240"/>
      </w:pPr>
      <w:r>
        <w:rPr>
          <w:rFonts w:ascii="Arial" w:cs="Arial" w:eastAsia="Arial" w:hAnsi="Arial"/>
          <w:b/>
          <w:bCs/>
          <w:color w:val="333333"/>
          <w:sz w:val="24"/>
          <w:szCs w:val="24"/>
        </w:rPr>
        <w:t xml:space="preserve">4.2 Learning Outcomes</w:t>
      </w:r>
    </w:p>
    <w:p>
      <w:pPr>
        <w:spacing w:after="120" w:before="80"/>
      </w:pPr>
      <w:r>
        <w:rPr>
          <w:rFonts w:ascii="Arial" w:cs="Arial" w:eastAsia="Arial" w:hAnsi="Arial"/>
          <w:color w:val="333333"/>
          <w:sz w:val="22"/>
          <w:szCs w:val="22"/>
        </w:rPr>
        <w:t xml:space="preserve">Participant feedback consistently demonstrated that individuals left workshops with greater knowledge and understanding of their own wellbeing. Across all workshop topics, participants described specific learning that they were able to name and articulate in their own words. The breadth and specificity of learning reported is a strong indicator of genuine knowledge gain rather than general satisfaction.</w:t>
      </w:r>
    </w:p>
    <w:p>
      <w:pPr>
        <w:pStyle w:val="Heading1"/>
        <w:pBdr>
          <w:bottom w:val="single" w:color="1B7A8C" w:sz="6" w:space="4"/>
        </w:pBdr>
        <w:spacing w:after="120" w:before="360"/>
      </w:pPr>
      <w:r>
        <w:rPr>
          <w:rFonts w:ascii="Arial" w:cs="Arial" w:eastAsia="Arial" w:hAnsi="Arial"/>
          <w:b/>
          <w:bCs/>
          <w:color w:val="1B7A8C"/>
          <w:sz w:val="28"/>
          <w:szCs w:val="28"/>
        </w:rPr>
        <w:t xml:space="preserve">5. Behaviour Change and Goal Setting</w:t>
      </w:r>
    </w:p>
    <w:p>
      <w:pPr>
        <w:spacing w:after="120" w:before="80"/>
      </w:pPr>
      <w:r>
        <w:rPr>
          <w:rFonts w:ascii="Arial" w:cs="Arial" w:eastAsia="Arial" w:hAnsi="Arial"/>
          <w:color w:val="333333"/>
          <w:sz w:val="22"/>
          <w:szCs w:val="22"/>
        </w:rPr>
        <w:t xml:space="preserve">Participant evaluation feedback demonstrated clear behaviour change intentions across all workshop types. Participants identified specific, personally relevant changes they intended to make as a direct result of attending. Examples drawn from participant feedback across the programme include the following.</w:t>
      </w:r>
    </w:p>
    <w:p>
      <w:pPr>
        <w:pStyle w:val="ListParagraph"/>
        <w:numPr>
          <w:ilvl w:val="0"/>
          <w:numId w:val="2"/>
        </w:numPr>
        <w:spacing w:after="40" w:before="40"/>
      </w:pPr>
      <w:r>
        <w:rPr>
          <w:rFonts w:ascii="Arial" w:cs="Arial" w:eastAsia="Arial" w:hAnsi="Arial"/>
          <w:color w:val="333333"/>
          <w:sz w:val="22"/>
          <w:szCs w:val="22"/>
        </w:rPr>
        <w:t xml:space="preserve">I now know what stress is and how to handle it more effectively.</w:t>
      </w:r>
    </w:p>
    <w:p>
      <w:pPr>
        <w:pStyle w:val="ListParagraph"/>
        <w:numPr>
          <w:ilvl w:val="0"/>
          <w:numId w:val="2"/>
        </w:numPr>
        <w:spacing w:after="40" w:before="40"/>
      </w:pPr>
      <w:r>
        <w:rPr>
          <w:rFonts w:ascii="Arial" w:cs="Arial" w:eastAsia="Arial" w:hAnsi="Arial"/>
          <w:color w:val="333333"/>
          <w:sz w:val="22"/>
          <w:szCs w:val="22"/>
        </w:rPr>
        <w:t xml:space="preserve">I am more aware of how to bring healthier foods into my diet.</w:t>
      </w:r>
    </w:p>
    <w:p>
      <w:pPr>
        <w:pStyle w:val="ListParagraph"/>
        <w:numPr>
          <w:ilvl w:val="0"/>
          <w:numId w:val="2"/>
        </w:numPr>
        <w:spacing w:after="40" w:before="40"/>
      </w:pPr>
      <w:r>
        <w:rPr>
          <w:rFonts w:ascii="Arial" w:cs="Arial" w:eastAsia="Arial" w:hAnsi="Arial"/>
          <w:color w:val="333333"/>
          <w:sz w:val="22"/>
          <w:szCs w:val="22"/>
        </w:rPr>
        <w:t xml:space="preserve">I learned about the three different ways of communication.</w:t>
      </w:r>
    </w:p>
    <w:p>
      <w:pPr>
        <w:pStyle w:val="ListParagraph"/>
        <w:numPr>
          <w:ilvl w:val="0"/>
          <w:numId w:val="2"/>
        </w:numPr>
        <w:spacing w:after="40" w:before="40"/>
      </w:pPr>
      <w:r>
        <w:rPr>
          <w:rFonts w:ascii="Arial" w:cs="Arial" w:eastAsia="Arial" w:hAnsi="Arial"/>
          <w:color w:val="333333"/>
          <w:sz w:val="22"/>
          <w:szCs w:val="22"/>
        </w:rPr>
        <w:t xml:space="preserve">I am aware of how to do a body scan and be more aware of myself.</w:t>
      </w:r>
    </w:p>
    <w:p>
      <w:pPr>
        <w:pStyle w:val="ListParagraph"/>
        <w:numPr>
          <w:ilvl w:val="0"/>
          <w:numId w:val="2"/>
        </w:numPr>
        <w:spacing w:after="40" w:before="40"/>
      </w:pPr>
      <w:r>
        <w:rPr>
          <w:rFonts w:ascii="Arial" w:cs="Arial" w:eastAsia="Arial" w:hAnsi="Arial"/>
          <w:color w:val="333333"/>
          <w:sz w:val="22"/>
          <w:szCs w:val="22"/>
        </w:rPr>
        <w:t xml:space="preserve">I have learned ways of communicating more clearly by being direct and confident.</w:t>
      </w:r>
    </w:p>
    <w:p>
      <w:pPr>
        <w:pStyle w:val="ListParagraph"/>
        <w:numPr>
          <w:ilvl w:val="0"/>
          <w:numId w:val="2"/>
        </w:numPr>
        <w:spacing w:after="40" w:before="40"/>
      </w:pPr>
      <w:r>
        <w:rPr>
          <w:rFonts w:ascii="Arial" w:cs="Arial" w:eastAsia="Arial" w:hAnsi="Arial"/>
          <w:color w:val="333333"/>
          <w:sz w:val="22"/>
          <w:szCs w:val="22"/>
        </w:rPr>
        <w:t xml:space="preserve">I will now create a sleep plan and sleep routine to improve my quality of sleep.</w:t>
      </w:r>
    </w:p>
    <w:p>
      <w:pPr>
        <w:pStyle w:val="ListParagraph"/>
        <w:numPr>
          <w:ilvl w:val="0"/>
          <w:numId w:val="2"/>
        </w:numPr>
        <w:spacing w:after="40" w:before="40"/>
      </w:pPr>
      <w:r>
        <w:rPr>
          <w:rFonts w:ascii="Arial" w:cs="Arial" w:eastAsia="Arial" w:hAnsi="Arial"/>
          <w:color w:val="333333"/>
          <w:sz w:val="22"/>
          <w:szCs w:val="22"/>
        </w:rPr>
        <w:t xml:space="preserve">From next week, I will increase my activity. For example, table tennis.</w:t>
      </w:r>
    </w:p>
    <w:p>
      <w:pPr>
        <w:pStyle w:val="ListParagraph"/>
        <w:numPr>
          <w:ilvl w:val="0"/>
          <w:numId w:val="2"/>
        </w:numPr>
        <w:spacing w:after="40" w:before="40"/>
      </w:pPr>
      <w:r>
        <w:rPr>
          <w:rFonts w:ascii="Arial" w:cs="Arial" w:eastAsia="Arial" w:hAnsi="Arial"/>
          <w:color w:val="333333"/>
          <w:sz w:val="22"/>
          <w:szCs w:val="22"/>
        </w:rPr>
        <w:t xml:space="preserve">My confidence has improved and I have a better understanding of my own wellbeing.</w:t>
      </w:r>
    </w:p>
    <w:p>
      <w:pPr>
        <w:pStyle w:val="ListParagraph"/>
        <w:numPr>
          <w:ilvl w:val="0"/>
          <w:numId w:val="2"/>
        </w:numPr>
        <w:spacing w:after="40" w:before="40"/>
      </w:pPr>
      <w:r>
        <w:rPr>
          <w:rFonts w:ascii="Arial" w:cs="Arial" w:eastAsia="Arial" w:hAnsi="Arial"/>
          <w:color w:val="333333"/>
          <w:sz w:val="22"/>
          <w:szCs w:val="22"/>
        </w:rPr>
        <w:t xml:space="preserve">I have learned more about how to control my emotions better and be more mindful.</w:t>
      </w:r>
    </w:p>
    <w:p>
      <w:pPr>
        <w:pStyle w:val="ListParagraph"/>
        <w:numPr>
          <w:ilvl w:val="0"/>
          <w:numId w:val="2"/>
        </w:numPr>
        <w:spacing w:after="40" w:before="40"/>
      </w:pPr>
      <w:r>
        <w:rPr>
          <w:rFonts w:ascii="Arial" w:cs="Arial" w:eastAsia="Arial" w:hAnsi="Arial"/>
          <w:color w:val="333333"/>
          <w:sz w:val="22"/>
          <w:szCs w:val="22"/>
        </w:rPr>
        <w:t xml:space="preserve">Different strategies in coping with addictions and smoking.</w:t>
      </w:r>
    </w:p>
    <w:p>
      <w:pPr>
        <w:pStyle w:val="ListParagraph"/>
        <w:numPr>
          <w:ilvl w:val="0"/>
          <w:numId w:val="2"/>
        </w:numPr>
        <w:spacing w:after="40" w:before="40"/>
      </w:pPr>
      <w:r>
        <w:rPr>
          <w:rFonts w:ascii="Arial" w:cs="Arial" w:eastAsia="Arial" w:hAnsi="Arial"/>
          <w:color w:val="333333"/>
          <w:sz w:val="22"/>
          <w:szCs w:val="22"/>
        </w:rPr>
        <w:t xml:space="preserve">How to state my feelings without being aggressive.</w:t>
      </w:r>
    </w:p>
    <w:p>
      <w:pPr>
        <w:pStyle w:val="ListParagraph"/>
        <w:numPr>
          <w:ilvl w:val="0"/>
          <w:numId w:val="2"/>
        </w:numPr>
        <w:spacing w:after="40" w:before="40"/>
      </w:pPr>
      <w:r>
        <w:rPr>
          <w:rFonts w:ascii="Arial" w:cs="Arial" w:eastAsia="Arial" w:hAnsi="Arial"/>
          <w:color w:val="333333"/>
          <w:sz w:val="22"/>
          <w:szCs w:val="22"/>
        </w:rPr>
        <w:t xml:space="preserve">How to be more accepting of myself and others.</w:t>
      </w:r>
    </w:p>
    <w:p>
      <w:pPr>
        <w:spacing w:after="60" w:before="60"/>
      </w:pPr>
      <w:r>
        <w:t xml:space="preserve"/>
      </w:r>
    </w:p>
    <w:p>
      <w:pPr>
        <w:spacing w:after="120" w:before="80"/>
      </w:pPr>
      <w:r>
        <w:rPr>
          <w:rFonts w:ascii="Arial" w:cs="Arial" w:eastAsia="Arial" w:hAnsi="Arial"/>
          <w:color w:val="333333"/>
          <w:sz w:val="22"/>
          <w:szCs w:val="22"/>
        </w:rPr>
        <w:t xml:space="preserve">The quality and specificity of these intentions reflects genuine personal investment in the learning and a meaningful likelihood of sustained behaviour change beyond the session itself.</w:t>
      </w:r>
    </w:p>
    <w:p>
      <w:pPr>
        <w:pStyle w:val="Heading1"/>
        <w:pBdr>
          <w:bottom w:val="single" w:color="1B7A8C" w:sz="6" w:space="4"/>
        </w:pBdr>
        <w:spacing w:after="120" w:before="360"/>
      </w:pPr>
      <w:r>
        <w:rPr>
          <w:rFonts w:ascii="Arial" w:cs="Arial" w:eastAsia="Arial" w:hAnsi="Arial"/>
          <w:b/>
          <w:bCs/>
          <w:color w:val="1B7A8C"/>
          <w:sz w:val="28"/>
          <w:szCs w:val="28"/>
        </w:rPr>
        <w:t xml:space="preserve">6. Course Quality and Participant Satisfaction</w:t>
      </w:r>
    </w:p>
    <w:p>
      <w:pPr>
        <w:pStyle w:val="Heading2"/>
        <w:spacing w:after="80" w:before="240"/>
      </w:pPr>
      <w:r>
        <w:rPr>
          <w:rFonts w:ascii="Arial" w:cs="Arial" w:eastAsia="Arial" w:hAnsi="Arial"/>
          <w:b/>
          <w:bCs/>
          <w:color w:val="333333"/>
          <w:sz w:val="24"/>
          <w:szCs w:val="24"/>
        </w:rPr>
        <w:t xml:space="preserve">6.1 What Participants Gained</w:t>
      </w:r>
    </w:p>
    <w:p>
      <w:pPr>
        <w:spacing w:after="120" w:before="80"/>
      </w:pPr>
      <w:r>
        <w:rPr>
          <w:rFonts w:ascii="Arial" w:cs="Arial" w:eastAsia="Arial" w:hAnsi="Arial"/>
          <w:color w:val="333333"/>
          <w:sz w:val="22"/>
          <w:szCs w:val="22"/>
        </w:rPr>
        <w:t xml:space="preserve">Participant feedback across all workshops and venues consistently evidenced improvement in knowledge, understanding, and confidence. The majority of participants reported gaining greater knowledge and understanding of their wellbeing, feeling more able to make changes, and feeling more confident in taking steps to improve their health and wellbeing in daily life.</w:t>
      </w:r>
    </w:p>
    <w:p>
      <w:pPr>
        <w:spacing w:after="120" w:before="80"/>
      </w:pPr>
      <w:r>
        <w:rPr>
          <w:rFonts w:ascii="Arial" w:cs="Arial" w:eastAsia="Arial" w:hAnsi="Arial"/>
          <w:color w:val="333333"/>
          <w:sz w:val="22"/>
          <w:szCs w:val="22"/>
        </w:rPr>
        <w:t xml:space="preserve">The programme succeeded in meeting all four of its stated objectives. Feedback demonstrated reduced isolation and increased community connection, improvement in knowledge and understanding around health and wellbeing, participants feeling more able to make changes, and the development of greater emotional resilience.</w:t>
      </w:r>
    </w:p>
    <w:p>
      <w:pPr>
        <w:pStyle w:val="Heading2"/>
        <w:spacing w:after="80" w:before="240"/>
      </w:pPr>
      <w:r>
        <w:rPr>
          <w:rFonts w:ascii="Arial" w:cs="Arial" w:eastAsia="Arial" w:hAnsi="Arial"/>
          <w:b/>
          <w:bCs/>
          <w:color w:val="333333"/>
          <w:sz w:val="24"/>
          <w:szCs w:val="24"/>
        </w:rPr>
        <w:t xml:space="preserve">6.2 Attendance and Engagement</w:t>
      </w:r>
    </w:p>
    <w:p>
      <w:pPr>
        <w:spacing w:after="120" w:before="80"/>
      </w:pPr>
      <w:r>
        <w:rPr>
          <w:rFonts w:ascii="Arial" w:cs="Arial" w:eastAsia="Arial" w:hAnsi="Arial"/>
          <w:color w:val="333333"/>
          <w:sz w:val="22"/>
          <w:szCs w:val="22"/>
        </w:rPr>
        <w:t xml:space="preserve">The total potential interest in workshops across all venues was 384 people. Total actual attendance was 151, resulting in an overall attendance rate of 39 per cent across all workshops. The programme delivered 128 unique participants against a target of 60, representing a 113 per cent uplift on the original target.</w:t>
      </w:r>
    </w:p>
    <w:p>
      <w:pPr>
        <w:spacing w:after="120" w:before="80"/>
      </w:pPr>
      <w:r>
        <w:rPr>
          <w:rFonts w:ascii="Arial" w:cs="Arial" w:eastAsia="Arial" w:hAnsi="Arial"/>
          <w:color w:val="333333"/>
          <w:sz w:val="22"/>
          <w:szCs w:val="22"/>
        </w:rPr>
        <w:t xml:space="preserve">The most attended workshop across all venues was Mindfulness with 28 participants. Repeat attendance was evident across the programme, with 46 per cent of participants attending more than one workshop, demonstrating sustained engagement and the value participants placed on the offer.</w:t>
      </w:r>
    </w:p>
    <w:p>
      <w:pPr>
        <w:pStyle w:val="Heading1"/>
        <w:pBdr>
          <w:bottom w:val="single" w:color="1B7A8C" w:sz="6" w:space="4"/>
        </w:pBdr>
        <w:spacing w:after="120" w:before="360"/>
      </w:pPr>
      <w:r>
        <w:rPr>
          <w:rFonts w:ascii="Arial" w:cs="Arial" w:eastAsia="Arial" w:hAnsi="Arial"/>
          <w:b/>
          <w:bCs/>
          <w:color w:val="1B7A8C"/>
          <w:sz w:val="28"/>
          <w:szCs w:val="28"/>
        </w:rPr>
        <w:t xml:space="preserve">7. Equity, Diversity and Inclusion</w:t>
      </w:r>
    </w:p>
    <w:p>
      <w:pPr>
        <w:spacing w:after="120" w:before="80"/>
      </w:pPr>
      <w:r>
        <w:rPr>
          <w:rFonts w:ascii="Arial" w:cs="Arial" w:eastAsia="Arial" w:hAnsi="Arial"/>
          <w:color w:val="333333"/>
          <w:sz w:val="22"/>
          <w:szCs w:val="22"/>
        </w:rPr>
        <w:t xml:space="preserve">The programme demonstrated a commitment to equity, diversity, and inclusion through its venue selection, delivery approach, and participant reach. Workshops were delivered in established community settings in areas of deprivation and social need across Trafford and East Manchester, ensuring accessibility to those who would not typically access private health and wellbeing provision.</w:t>
      </w:r>
    </w:p>
    <w:p>
      <w:pPr>
        <w:spacing w:after="120" w:before="80"/>
      </w:pPr>
      <w:r>
        <w:rPr>
          <w:rFonts w:ascii="Arial" w:cs="Arial" w:eastAsia="Arial" w:hAnsi="Arial"/>
          <w:color w:val="333333"/>
          <w:sz w:val="22"/>
          <w:szCs w:val="22"/>
        </w:rPr>
        <w:t xml:space="preserve">A majority female participant base reflected the community composition and referral pathways at partner venues. Over half of participants were in receipt of welfare benefits, confirming the programme reached those facing economic disadvantage. The workshop offer was free at the point of access, removing financial barriers to engagement.</w:t>
      </w:r>
    </w:p>
    <w:p>
      <w:pPr>
        <w:spacing w:after="120" w:before="80"/>
      </w:pPr>
      <w:r>
        <w:rPr>
          <w:rFonts w:ascii="Arial" w:cs="Arial" w:eastAsia="Arial" w:hAnsi="Arial"/>
          <w:color w:val="333333"/>
          <w:sz w:val="22"/>
          <w:szCs w:val="22"/>
        </w:rPr>
        <w:t xml:space="preserve">All workshops were delivered with the agreement and oversight of partner venues, ensuring cultural appropriateness and community relevance at each site.</w:t>
      </w:r>
    </w:p>
    <w:p>
      <w:pPr>
        <w:pStyle w:val="Heading1"/>
        <w:pBdr>
          <w:bottom w:val="single" w:color="1B7A8C" w:sz="6" w:space="4"/>
        </w:pBdr>
        <w:spacing w:after="120" w:before="360"/>
      </w:pPr>
      <w:r>
        <w:rPr>
          <w:rFonts w:ascii="Arial" w:cs="Arial" w:eastAsia="Arial" w:hAnsi="Arial"/>
          <w:b/>
          <w:bCs/>
          <w:color w:val="1B7A8C"/>
          <w:sz w:val="28"/>
          <w:szCs w:val="28"/>
        </w:rPr>
        <w:t xml:space="preserve">8. Repeat Attendance and Programme Cohesion</w:t>
      </w:r>
    </w:p>
    <w:p>
      <w:pPr>
        <w:spacing w:after="120" w:before="80"/>
      </w:pPr>
      <w:r>
        <w:rPr>
          <w:rFonts w:ascii="Arial" w:cs="Arial" w:eastAsia="Arial" w:hAnsi="Arial"/>
          <w:color w:val="333333"/>
          <w:sz w:val="22"/>
          <w:szCs w:val="22"/>
        </w:rPr>
        <w:t xml:space="preserve">Repeat attendance was a notable feature of the programme, with 46 per cent of participants attending more than one workshop across the delivery period. This sustained engagement in a voluntary community health context is a strong indicator that participants found genuine value in what was being delivered.</w:t>
      </w:r>
    </w:p>
    <w:p>
      <w:pPr>
        <w:spacing w:after="120" w:before="80"/>
      </w:pPr>
      <w:r>
        <w:rPr>
          <w:rFonts w:ascii="Arial" w:cs="Arial" w:eastAsia="Arial" w:hAnsi="Arial"/>
          <w:color w:val="333333"/>
          <w:sz w:val="22"/>
          <w:szCs w:val="22"/>
        </w:rPr>
        <w:t xml:space="preserve">The multi-topic nature of the programme created a coherent and mutually reinforcing wellbeing offer. Participants who attended both Sleep and Stress and Relaxation workshops, for example, received learning that directly complemented each other. Those who attended both 5 Ways to Wellbeing and Confidence in Communication received a programme addressing both the broader framework for wellbeing and the specific interpersonal skills needed to support it.</w:t>
      </w:r>
    </w:p>
    <w:p>
      <w:pPr>
        <w:pStyle w:val="Heading1"/>
        <w:pBdr>
          <w:bottom w:val="single" w:color="1B7A8C" w:sz="6" w:space="4"/>
        </w:pBdr>
        <w:spacing w:after="120" w:before="360"/>
      </w:pPr>
      <w:r>
        <w:rPr>
          <w:rFonts w:ascii="Arial" w:cs="Arial" w:eastAsia="Arial" w:hAnsi="Arial"/>
          <w:b/>
          <w:bCs/>
          <w:color w:val="1B7A8C"/>
          <w:sz w:val="28"/>
          <w:szCs w:val="28"/>
        </w:rPr>
        <w:t xml:space="preserve">9. Key Quotes from Participants</w:t>
      </w:r>
    </w:p>
    <w:p>
      <w:pPr>
        <w:spacing w:after="120" w:before="80"/>
      </w:pPr>
      <w:r>
        <w:rPr>
          <w:rFonts w:ascii="Arial" w:cs="Arial" w:eastAsia="Arial" w:hAnsi="Arial"/>
          <w:color w:val="333333"/>
          <w:sz w:val="22"/>
          <w:szCs w:val="22"/>
        </w:rPr>
        <w:t xml:space="preserve">All quotes below are drawn from participant evaluation forms submitted following attendance. They are reproduced here anonymously.</w:t>
      </w:r>
    </w:p>
    <w:p>
      <w:pPr>
        <w:spacing w:after="60" w:before="60"/>
      </w:pPr>
      <w:r>
        <w:t xml:space="preserve"/>
      </w:r>
    </w:p>
    <w:p>
      <w:pPr>
        <w:pBdr>
          <w:left w:val="single" w:color="1B7A8C" w:sz="12" w:space="8"/>
        </w:pBdr>
        <w:spacing w:after="80" w:before="80"/>
        <w:ind w:left="720"/>
      </w:pPr>
      <w:r>
        <w:rPr>
          <w:rFonts w:ascii="Arial" w:cs="Arial" w:eastAsia="Arial" w:hAnsi="Arial"/>
          <w:i/>
          <w:iCs/>
          <w:color w:val="666666"/>
          <w:sz w:val="22"/>
          <w:szCs w:val="22"/>
        </w:rPr>
        <w:t xml:space="preserve">"I now know what stress is and how to handle it more effectively."</w:t>
      </w:r>
    </w:p>
    <w:p>
      <w:pPr>
        <w:pBdr>
          <w:left w:val="single" w:color="1B7A8C" w:sz="12" w:space="8"/>
        </w:pBdr>
        <w:spacing w:after="80" w:before="80"/>
        <w:ind w:left="720"/>
      </w:pPr>
      <w:r>
        <w:rPr>
          <w:rFonts w:ascii="Arial" w:cs="Arial" w:eastAsia="Arial" w:hAnsi="Arial"/>
          <w:i/>
          <w:iCs/>
          <w:color w:val="666666"/>
          <w:sz w:val="22"/>
          <w:szCs w:val="22"/>
        </w:rPr>
        <w:t xml:space="preserve">"I have learned ways of communicating more clearly by being direct and confident."</w:t>
      </w:r>
    </w:p>
    <w:p>
      <w:pPr>
        <w:pBdr>
          <w:left w:val="single" w:color="1B7A8C" w:sz="12" w:space="8"/>
        </w:pBdr>
        <w:spacing w:after="80" w:before="80"/>
        <w:ind w:left="720"/>
      </w:pPr>
      <w:r>
        <w:rPr>
          <w:rFonts w:ascii="Arial" w:cs="Arial" w:eastAsia="Arial" w:hAnsi="Arial"/>
          <w:i/>
          <w:iCs/>
          <w:color w:val="666666"/>
          <w:sz w:val="22"/>
          <w:szCs w:val="22"/>
        </w:rPr>
        <w:t xml:space="preserve">"I am more aware of how to bring healthier foods into my diet."</w:t>
      </w:r>
    </w:p>
    <w:p>
      <w:pPr>
        <w:pBdr>
          <w:left w:val="single" w:color="1B7A8C" w:sz="12" w:space="8"/>
        </w:pBdr>
        <w:spacing w:after="80" w:before="80"/>
        <w:ind w:left="720"/>
      </w:pPr>
      <w:r>
        <w:rPr>
          <w:rFonts w:ascii="Arial" w:cs="Arial" w:eastAsia="Arial" w:hAnsi="Arial"/>
          <w:i/>
          <w:iCs/>
          <w:color w:val="666666"/>
          <w:sz w:val="22"/>
          <w:szCs w:val="22"/>
        </w:rPr>
        <w:t xml:space="preserve">"My confidence has improved and I have a better understanding of my own wellbeing."</w:t>
      </w:r>
    </w:p>
    <w:p>
      <w:pPr>
        <w:pBdr>
          <w:left w:val="single" w:color="1B7A8C" w:sz="12" w:space="8"/>
        </w:pBdr>
        <w:spacing w:after="80" w:before="80"/>
        <w:ind w:left="720"/>
      </w:pPr>
      <w:r>
        <w:rPr>
          <w:rFonts w:ascii="Arial" w:cs="Arial" w:eastAsia="Arial" w:hAnsi="Arial"/>
          <w:i/>
          <w:iCs/>
          <w:color w:val="666666"/>
          <w:sz w:val="22"/>
          <w:szCs w:val="22"/>
        </w:rPr>
        <w:t xml:space="preserve">"I will now create a sleep plan and sleep routine to improve my quality of sleep."</w:t>
      </w:r>
    </w:p>
    <w:p>
      <w:pPr>
        <w:pBdr>
          <w:left w:val="single" w:color="1B7A8C" w:sz="12" w:space="8"/>
        </w:pBdr>
        <w:spacing w:after="80" w:before="80"/>
        <w:ind w:left="720"/>
      </w:pPr>
      <w:r>
        <w:rPr>
          <w:rFonts w:ascii="Arial" w:cs="Arial" w:eastAsia="Arial" w:hAnsi="Arial"/>
          <w:i/>
          <w:iCs/>
          <w:color w:val="666666"/>
          <w:sz w:val="22"/>
          <w:szCs w:val="22"/>
        </w:rPr>
        <w:t xml:space="preserve">"I have learned more about how to control my emotions better and be more mindful."</w:t>
      </w:r>
    </w:p>
    <w:p>
      <w:pPr>
        <w:pBdr>
          <w:left w:val="single" w:color="1B7A8C" w:sz="12" w:space="8"/>
        </w:pBdr>
        <w:spacing w:after="80" w:before="80"/>
        <w:ind w:left="720"/>
      </w:pPr>
      <w:r>
        <w:rPr>
          <w:rFonts w:ascii="Arial" w:cs="Arial" w:eastAsia="Arial" w:hAnsi="Arial"/>
          <w:i/>
          <w:iCs/>
          <w:color w:val="666666"/>
          <w:sz w:val="22"/>
          <w:szCs w:val="22"/>
        </w:rPr>
        <w:t xml:space="preserve">"How to be more accepting of myself and others."</w:t>
      </w:r>
    </w:p>
    <w:p>
      <w:pPr>
        <w:pBdr>
          <w:left w:val="single" w:color="1B7A8C" w:sz="12" w:space="8"/>
        </w:pBdr>
        <w:spacing w:after="80" w:before="80"/>
        <w:ind w:left="720"/>
      </w:pPr>
      <w:r>
        <w:rPr>
          <w:rFonts w:ascii="Arial" w:cs="Arial" w:eastAsia="Arial" w:hAnsi="Arial"/>
          <w:i/>
          <w:iCs/>
          <w:color w:val="666666"/>
          <w:sz w:val="22"/>
          <w:szCs w:val="22"/>
        </w:rPr>
        <w:t xml:space="preserve">"From next week, I will increase my activity. For example, table tennis."</w:t>
      </w:r>
    </w:p>
    <w:p>
      <w:pPr>
        <w:pStyle w:val="Heading1"/>
        <w:pBdr>
          <w:bottom w:val="single" w:color="1B7A8C" w:sz="6" w:space="4"/>
        </w:pBdr>
        <w:spacing w:after="120" w:before="360"/>
      </w:pPr>
      <w:r>
        <w:rPr>
          <w:rFonts w:ascii="Arial" w:cs="Arial" w:eastAsia="Arial" w:hAnsi="Arial"/>
          <w:b/>
          <w:bCs/>
          <w:color w:val="1B7A8C"/>
          <w:sz w:val="28"/>
          <w:szCs w:val="28"/>
        </w:rPr>
        <w:t xml:space="preserve">10. Summary of Impact</w:t>
      </w:r>
    </w:p>
    <w:p>
      <w:pPr>
        <w:spacing w:after="120" w:before="80"/>
      </w:pPr>
      <w:r>
        <w:rPr>
          <w:rFonts w:ascii="Arial" w:cs="Arial" w:eastAsia="Arial" w:hAnsi="Arial"/>
          <w:color w:val="333333"/>
          <w:sz w:val="22"/>
          <w:szCs w:val="22"/>
        </w:rPr>
        <w:t xml:space="preserve">The BMS Wellbeing CIC Phase 1 wellbeing workshop programme, funded by National Lottery Awards for All, delivered measurable and meaningful impact across all evaluated dimensions. The evidence gathered across five venues, 128 registered participants, and 151 workshop attendances demonstrates the following.</w:t>
      </w:r>
    </w:p>
    <w:p>
      <w:pPr>
        <w:pStyle w:val="ListParagraph"/>
        <w:numPr>
          <w:ilvl w:val="0"/>
          <w:numId w:val="2"/>
        </w:numPr>
        <w:spacing w:after="40" w:before="40"/>
      </w:pPr>
      <w:r>
        <w:rPr>
          <w:rFonts w:ascii="Arial" w:cs="Arial" w:eastAsia="Arial" w:hAnsi="Arial"/>
          <w:color w:val="333333"/>
          <w:sz w:val="22"/>
          <w:szCs w:val="22"/>
        </w:rPr>
        <w:t xml:space="preserve">The programme substantially exceeded its target of 60 participants, engaging 128 individuals, representing a 113 per cent uplift on the original target.</w:t>
      </w:r>
    </w:p>
    <w:p>
      <w:pPr>
        <w:pStyle w:val="ListParagraph"/>
        <w:numPr>
          <w:ilvl w:val="0"/>
          <w:numId w:val="2"/>
        </w:numPr>
        <w:spacing w:after="40" w:before="40"/>
      </w:pPr>
      <w:r>
        <w:rPr>
          <w:rFonts w:ascii="Arial" w:cs="Arial" w:eastAsia="Arial" w:hAnsi="Arial"/>
          <w:color w:val="333333"/>
          <w:sz w:val="22"/>
          <w:szCs w:val="22"/>
        </w:rPr>
        <w:t xml:space="preserve">Participant wellbeing improved across all measured indicators following workshop attendance, with 54 per cent showing improvement on the Warwick Edinburgh Mental Wellbeing Scale and 46 per cent showing improvement on the Loneliness Measure Scale.</w:t>
      </w:r>
    </w:p>
    <w:p>
      <w:pPr>
        <w:pStyle w:val="ListParagraph"/>
        <w:numPr>
          <w:ilvl w:val="0"/>
          <w:numId w:val="2"/>
        </w:numPr>
        <w:spacing w:after="40" w:before="40"/>
      </w:pPr>
      <w:r>
        <w:rPr>
          <w:rFonts w:ascii="Arial" w:cs="Arial" w:eastAsia="Arial" w:hAnsi="Arial"/>
          <w:color w:val="333333"/>
          <w:sz w:val="22"/>
          <w:szCs w:val="22"/>
        </w:rPr>
        <w:t xml:space="preserve">All participants reported gaining greater knowledge and understanding of their own wellbeing as a result of attending.</w:t>
      </w:r>
    </w:p>
    <w:p>
      <w:pPr>
        <w:pStyle w:val="ListParagraph"/>
        <w:numPr>
          <w:ilvl w:val="0"/>
          <w:numId w:val="2"/>
        </w:numPr>
        <w:spacing w:after="40" w:before="40"/>
      </w:pPr>
      <w:r>
        <w:rPr>
          <w:rFonts w:ascii="Arial" w:cs="Arial" w:eastAsia="Arial" w:hAnsi="Arial"/>
          <w:color w:val="333333"/>
          <w:sz w:val="22"/>
          <w:szCs w:val="22"/>
        </w:rPr>
        <w:t xml:space="preserve">Participants across all workshops and venues identified specific and realistic behaviour change intentions following attendance.</w:t>
      </w:r>
    </w:p>
    <w:p>
      <w:pPr>
        <w:pStyle w:val="ListParagraph"/>
        <w:numPr>
          <w:ilvl w:val="0"/>
          <w:numId w:val="2"/>
        </w:numPr>
        <w:spacing w:after="40" w:before="40"/>
      </w:pPr>
      <w:r>
        <w:rPr>
          <w:rFonts w:ascii="Arial" w:cs="Arial" w:eastAsia="Arial" w:hAnsi="Arial"/>
          <w:color w:val="333333"/>
          <w:sz w:val="22"/>
          <w:szCs w:val="22"/>
        </w:rPr>
        <w:t xml:space="preserve">Repeat attendance across multiple venues demonstrated sustained participant engagement and genuine programme value, with 46 per cent of participants attending more than one workshop.</w:t>
      </w:r>
    </w:p>
    <w:p>
      <w:pPr>
        <w:pStyle w:val="ListParagraph"/>
        <w:numPr>
          <w:ilvl w:val="0"/>
          <w:numId w:val="2"/>
        </w:numPr>
        <w:spacing w:after="40" w:before="40"/>
      </w:pPr>
      <w:r>
        <w:rPr>
          <w:rFonts w:ascii="Arial" w:cs="Arial" w:eastAsia="Arial" w:hAnsi="Arial"/>
          <w:color w:val="333333"/>
          <w:sz w:val="22"/>
          <w:szCs w:val="22"/>
        </w:rPr>
        <w:t xml:space="preserve">The programme successfully reached a participant base that included a high proportion of individuals in receipt of welfare benefits and those facing social isolation and economic disadvantage.</w:t>
      </w:r>
    </w:p>
    <w:p>
      <w:pPr>
        <w:pStyle w:val="ListParagraph"/>
        <w:numPr>
          <w:ilvl w:val="0"/>
          <w:numId w:val="2"/>
        </w:numPr>
        <w:spacing w:after="40" w:before="40"/>
      </w:pPr>
      <w:r>
        <w:rPr>
          <w:rFonts w:ascii="Arial" w:cs="Arial" w:eastAsia="Arial" w:hAnsi="Arial"/>
          <w:color w:val="333333"/>
          <w:sz w:val="22"/>
          <w:szCs w:val="22"/>
        </w:rPr>
        <w:t xml:space="preserve">The programme was delivered consistently across five distinct venue contexts in Trafford and East Manchester, demonstrating the adaptability and professionalism of BMS Wellbeing CIC's facilitation approach.</w:t>
      </w:r>
    </w:p>
    <w:p>
      <w:pPr>
        <w:pStyle w:val="ListParagraph"/>
        <w:numPr>
          <w:ilvl w:val="0"/>
          <w:numId w:val="2"/>
        </w:numPr>
        <w:spacing w:after="40" w:before="40"/>
      </w:pPr>
      <w:r>
        <w:rPr>
          <w:rFonts w:ascii="Arial" w:cs="Arial" w:eastAsia="Arial" w:hAnsi="Arial"/>
          <w:color w:val="333333"/>
          <w:sz w:val="22"/>
          <w:szCs w:val="22"/>
        </w:rPr>
        <w:t xml:space="preserve">The success of Phase 1 has directly informed the design and delivery of Phase 2, with the learnings from this pilot shaping an expanded programme across a wider network of venues.</w:t>
      </w:r>
    </w:p>
    <w:p>
      <w:pPr>
        <w:spacing w:after="60" w:before="60"/>
      </w:pPr>
      <w:r>
        <w:t xml:space="preserve"/>
      </w:r>
    </w:p>
    <w:p>
      <w:pPr>
        <w:spacing w:after="120" w:before="80"/>
      </w:pPr>
      <w:r>
        <w:rPr>
          <w:rFonts w:ascii="Arial" w:cs="Arial" w:eastAsia="Arial" w:hAnsi="Arial"/>
          <w:color w:val="333333"/>
          <w:sz w:val="22"/>
          <w:szCs w:val="22"/>
        </w:rPr>
        <w:t xml:space="preserve">BMS Wellbeing CIC wishes to thank National Lottery Awards for All for the funding that made this programme possible, all venue partners who provided accessible community spaces for delivery, and every participant who gave their time and their honest feedback across the programme period.</w:t>
      </w:r>
    </w:p>
    <w:p>
      <w:pPr>
        <w:spacing w:after="60" w:before="60"/>
      </w:pPr>
      <w:r>
        <w:t xml:space="preserve"/>
      </w:r>
    </w:p>
    <w:p>
      <w:pPr>
        <w:spacing w:before="240"/>
        <w:jc w:val="center"/>
      </w:pPr>
      <w:r>
        <w:rPr>
          <w:rFonts w:ascii="Arial" w:cs="Arial" w:eastAsia="Arial" w:hAnsi="Arial"/>
          <w:i/>
          <w:iCs/>
          <w:color w:val="666666"/>
          <w:sz w:val="18"/>
          <w:szCs w:val="18"/>
        </w:rPr>
        <w:t xml:space="preserve">BMS Wellbeing CIC  |  www.bmswellbeing.com  |  joelwhite@bmswellbeing.com  |  07853 629 771</w:t>
      </w:r>
    </w:p>
    <w:p>
      <w:pPr>
        <w:spacing w:before="60"/>
        <w:jc w:val="center"/>
      </w:pPr>
      <w:r>
        <w:rPr>
          <w:rFonts w:ascii="Arial" w:cs="Arial" w:eastAsia="Arial" w:hAnsi="Arial"/>
          <w:i/>
          <w:iCs/>
          <w:color w:val="666666"/>
          <w:sz w:val="18"/>
          <w:szCs w:val="18"/>
        </w:rPr>
        <w:t xml:space="preserve">National Lottery Awards for All  |  Phase 1 Grant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7A8C" w:sz="6" w:space="4"/>
      </w:pBdr>
      <w:tabs>
        <w:tab w:val="right" w:pos="9026"/>
      </w:tabs>
      <w:spacing w:before="120"/>
    </w:pPr>
    <w:r>
      <w:rPr>
        <w:rFonts w:ascii="Arial" w:cs="Arial" w:eastAsia="Arial" w:hAnsi="Arial"/>
        <w:color w:val="666666"/>
        <w:sz w:val="16"/>
        <w:szCs w:val="16"/>
      </w:rPr>
      <w:t xml:space="preserve">www.bmswellbeing.com  |  joelwhite@bmswellbeing.com  |  07853 629 771</w:t>
    </w:r>
    <w:r>
      <w:rPr>
        <w:rFonts w:ascii="Arial" w:cs="Arial" w:eastAsia="Arial" w:hAnsi="Arial"/>
        <w:color w:val="666666"/>
        <w:sz w:val="16"/>
        <w:szCs w:val="16"/>
      </w:rPr>
      <w:t xml:space="preserve">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7A8C" w:sz="6" w:space="4"/>
      </w:pBdr>
      <w:spacing w:after="120"/>
    </w:pPr>
    <w:r>
      <w:rPr>
        <w:rFonts w:ascii="Arial" w:cs="Arial" w:eastAsia="Arial" w:hAnsi="Arial"/>
        <w:color w:val="666666"/>
        <w:sz w:val="18"/>
        <w:szCs w:val="18"/>
      </w:rPr>
      <w:t xml:space="preserve">BMS WELLBEING CIC  |  Wellbeing Workshop Programme  |  Phase 1 Evaluation Report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B7A8C"/>
      <w:sz w:val="28"/>
      <w:szCs w:val="28"/>
    </w:rPr>
  </w:style>
  <w:style w:type="paragraph" w:styleId="Heading2">
    <w:name w:val="Heading 2"/>
    <w:basedOn w:val="Normal"/>
    <w:next w:val="Normal"/>
    <w:qFormat/>
    <w:pPr>
      <w:spacing w:after="80" w:before="240"/>
      <w:outlineLvl w:val="1"/>
    </w:pPr>
    <w:rPr>
      <w:rFonts w:ascii="Arial" w:cs="Arial" w:eastAsia="Arial" w:hAnsi="Arial"/>
      <w:b/>
      <w:bCs/>
      <w:color w:val="333333"/>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2026-04-08T08:09:00.112Z</dcterms:created>
  <dcterms:modified xsi:type="dcterms:W3CDTF">2026-04-08T08:09:00.113Z</dcterms:modified>
</cp:coreProperties>
</file>

<file path=docProps/custom.xml><?xml version="1.0" encoding="utf-8"?>
<Properties xmlns="http://schemas.openxmlformats.org/officeDocument/2006/custom-properties" xmlns:vt="http://schemas.openxmlformats.org/officeDocument/2006/docPropsVTypes"/>
</file>